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F6FE4" w14:textId="0062CBD1" w:rsidR="007729F9" w:rsidRDefault="00123264" w:rsidP="00123D52">
      <w:pPr>
        <w:spacing w:line="360" w:lineRule="auto"/>
        <w:jc w:val="center"/>
        <w:rPr>
          <w:rFonts w:cs="Times New Roman"/>
        </w:rPr>
      </w:pPr>
      <w:bookmarkStart w:id="0" w:name="_GoBack"/>
      <w:bookmarkEnd w:id="0"/>
      <w:r>
        <w:rPr>
          <w:noProof/>
        </w:rPr>
        <w:drawing>
          <wp:anchor distT="0" distB="0" distL="114300" distR="114300" simplePos="0" relativeHeight="251658240" behindDoc="0" locked="0" layoutInCell="1" allowOverlap="1" wp14:anchorId="2E44FB85" wp14:editId="6EBC53D8">
            <wp:simplePos x="0" y="0"/>
            <wp:positionH relativeFrom="margin">
              <wp:posOffset>4607560</wp:posOffset>
            </wp:positionH>
            <wp:positionV relativeFrom="paragraph">
              <wp:posOffset>148590</wp:posOffset>
            </wp:positionV>
            <wp:extent cx="1125855" cy="1333500"/>
            <wp:effectExtent l="152400" t="152400" r="360045" b="361950"/>
            <wp:wrapNone/>
            <wp:docPr id="1146165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5855" cy="13335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7729F9">
        <w:rPr>
          <w:rStyle w:val="Strong"/>
        </w:rPr>
        <w:t>Academic CV</w:t>
      </w:r>
    </w:p>
    <w:p w14:paraId="763B690D" w14:textId="28DFB222" w:rsidR="00970C80" w:rsidRDefault="00970C80" w:rsidP="00123D52">
      <w:pPr>
        <w:spacing w:line="360" w:lineRule="auto"/>
        <w:jc w:val="center"/>
        <w:rPr>
          <w:sz w:val="28"/>
          <w:szCs w:val="28"/>
          <w:rtl/>
        </w:rPr>
      </w:pPr>
    </w:p>
    <w:p w14:paraId="124D8A99" w14:textId="07270E78" w:rsidR="007729F9" w:rsidRDefault="007729F9" w:rsidP="00123D52">
      <w:pPr>
        <w:tabs>
          <w:tab w:val="left" w:pos="7631"/>
        </w:tabs>
        <w:bidi w:val="0"/>
        <w:spacing w:line="360" w:lineRule="auto"/>
        <w:jc w:val="center"/>
      </w:pPr>
      <w:r>
        <w:rPr>
          <w:rStyle w:val="Strong"/>
        </w:rPr>
        <w:t>Personal Information:</w:t>
      </w:r>
    </w:p>
    <w:p w14:paraId="43CAB8F1" w14:textId="77777777" w:rsidR="007729F9" w:rsidRDefault="007729F9" w:rsidP="00123D52">
      <w:pPr>
        <w:pStyle w:val="NormalWeb"/>
        <w:numPr>
          <w:ilvl w:val="0"/>
          <w:numId w:val="4"/>
        </w:numPr>
        <w:spacing w:line="360" w:lineRule="auto"/>
      </w:pPr>
      <w:r>
        <w:rPr>
          <w:rStyle w:val="Strong"/>
        </w:rPr>
        <w:t>Name:</w:t>
      </w:r>
      <w:r>
        <w:t xml:space="preserve"> Milad Hatamian</w:t>
      </w:r>
    </w:p>
    <w:p w14:paraId="5325D994" w14:textId="4A0ED291" w:rsidR="007729F9" w:rsidRDefault="007729F9" w:rsidP="00123D52">
      <w:pPr>
        <w:pStyle w:val="NormalWeb"/>
        <w:numPr>
          <w:ilvl w:val="0"/>
          <w:numId w:val="4"/>
        </w:numPr>
        <w:spacing w:line="360" w:lineRule="auto"/>
      </w:pPr>
      <w:r>
        <w:rPr>
          <w:rStyle w:val="Strong"/>
        </w:rPr>
        <w:t>Ph.D. Discipline:</w:t>
      </w:r>
      <w:r>
        <w:t xml:space="preserve"> Medical Physics, TMU</w:t>
      </w:r>
    </w:p>
    <w:p w14:paraId="6E18EF69" w14:textId="5AD99102" w:rsidR="007729F9" w:rsidRDefault="007729F9" w:rsidP="00123D52">
      <w:pPr>
        <w:pStyle w:val="NormalWeb"/>
        <w:numPr>
          <w:ilvl w:val="0"/>
          <w:numId w:val="4"/>
        </w:numPr>
        <w:spacing w:line="360" w:lineRule="auto"/>
      </w:pPr>
      <w:r>
        <w:rPr>
          <w:rStyle w:val="Strong"/>
        </w:rPr>
        <w:t>Master’s Discipline:</w:t>
      </w:r>
      <w:r>
        <w:t xml:space="preserve"> Medical Physics, TBZMED</w:t>
      </w:r>
    </w:p>
    <w:p w14:paraId="4DA57785" w14:textId="77777777" w:rsidR="007729F9" w:rsidRDefault="007729F9" w:rsidP="00123D52">
      <w:pPr>
        <w:pStyle w:val="NormalWeb"/>
        <w:numPr>
          <w:ilvl w:val="0"/>
          <w:numId w:val="4"/>
        </w:numPr>
        <w:spacing w:line="360" w:lineRule="auto"/>
      </w:pPr>
      <w:r>
        <w:rPr>
          <w:rStyle w:val="Strong"/>
        </w:rPr>
        <w:t>Bachelor’s Discipline:</w:t>
      </w:r>
      <w:r>
        <w:t xml:space="preserve"> Nuclear Physics</w:t>
      </w:r>
    </w:p>
    <w:p w14:paraId="5FE70434" w14:textId="77777777" w:rsidR="007729F9" w:rsidRDefault="007729F9" w:rsidP="00123D52">
      <w:pPr>
        <w:pStyle w:val="NormalWeb"/>
        <w:numPr>
          <w:ilvl w:val="0"/>
          <w:numId w:val="4"/>
        </w:numPr>
        <w:spacing w:line="360" w:lineRule="auto"/>
      </w:pPr>
      <w:r>
        <w:rPr>
          <w:rStyle w:val="Strong"/>
        </w:rPr>
        <w:t>Email:</w:t>
      </w:r>
      <w:r>
        <w:t xml:space="preserve"> Milad_Hatamian@yahoo.com</w:t>
      </w:r>
    </w:p>
    <w:p w14:paraId="3C992565" w14:textId="679CCF4B" w:rsidR="007729F9" w:rsidRDefault="007729F9" w:rsidP="00123D52">
      <w:pPr>
        <w:pStyle w:val="NormalWeb"/>
        <w:numPr>
          <w:ilvl w:val="0"/>
          <w:numId w:val="4"/>
        </w:numPr>
        <w:spacing w:line="360" w:lineRule="auto"/>
      </w:pPr>
      <w:r>
        <w:t>Tehran</w:t>
      </w:r>
    </w:p>
    <w:p w14:paraId="2C6F40D5" w14:textId="77777777" w:rsidR="00123D52" w:rsidRDefault="00123D52" w:rsidP="00123D52">
      <w:pPr>
        <w:pStyle w:val="NormalWeb"/>
        <w:spacing w:line="360" w:lineRule="auto"/>
        <w:rPr>
          <w:rtl/>
        </w:rPr>
      </w:pPr>
    </w:p>
    <w:p w14:paraId="62F9C07E" w14:textId="77777777" w:rsidR="00123D52" w:rsidRDefault="00123D52" w:rsidP="00123D52">
      <w:pPr>
        <w:pStyle w:val="NormalWeb"/>
        <w:spacing w:line="360" w:lineRule="auto"/>
        <w:rPr>
          <w:rtl/>
        </w:rPr>
      </w:pPr>
    </w:p>
    <w:p w14:paraId="05225DC1" w14:textId="77777777" w:rsidR="00123D52" w:rsidRDefault="00123D52" w:rsidP="00123D52">
      <w:pPr>
        <w:pStyle w:val="NormalWeb"/>
        <w:spacing w:line="360" w:lineRule="auto"/>
      </w:pPr>
    </w:p>
    <w:p w14:paraId="02A9774A" w14:textId="77777777" w:rsidR="007729F9" w:rsidRPr="00123D52" w:rsidRDefault="007729F9" w:rsidP="00123D52">
      <w:pPr>
        <w:pStyle w:val="Heading3"/>
        <w:bidi w:val="0"/>
        <w:spacing w:line="360" w:lineRule="auto"/>
        <w:rPr>
          <w:rFonts w:cs="Times New Roman"/>
          <w:sz w:val="28"/>
          <w:szCs w:val="28"/>
        </w:rPr>
      </w:pPr>
      <w:r w:rsidRPr="00123D52">
        <w:rPr>
          <w:rStyle w:val="Strong"/>
          <w:b w:val="0"/>
          <w:bCs w:val="0"/>
          <w:sz w:val="28"/>
          <w:szCs w:val="28"/>
        </w:rPr>
        <w:t>A) Teaching Experience</w:t>
      </w:r>
    </w:p>
    <w:p w14:paraId="0B61A90C" w14:textId="77777777" w:rsidR="006C2518" w:rsidRPr="00123D52" w:rsidRDefault="006C2518" w:rsidP="00123D52">
      <w:pPr>
        <w:widowControl/>
        <w:numPr>
          <w:ilvl w:val="1"/>
          <w:numId w:val="5"/>
        </w:numPr>
        <w:bidi w:val="0"/>
        <w:spacing w:before="100" w:beforeAutospacing="1" w:after="100" w:afterAutospacing="1" w:line="360" w:lineRule="auto"/>
        <w:rPr>
          <w:sz w:val="24"/>
          <w:szCs w:val="24"/>
        </w:rPr>
      </w:pPr>
      <w:r w:rsidRPr="00123D52">
        <w:rPr>
          <w:sz w:val="24"/>
          <w:szCs w:val="24"/>
        </w:rPr>
        <w:t>Delivered 22 credit hours of practical courses in Medical Physics Laboratory for students of various medical disciplines, including Medicine, Dentistry, and Pharmacy, at the Faculty of Medicine, Tabriz University of Medical Sciences (2012–2014).</w:t>
      </w:r>
    </w:p>
    <w:p w14:paraId="77ECE10B" w14:textId="77777777" w:rsidR="007729F9" w:rsidRPr="00123D52" w:rsidRDefault="007729F9" w:rsidP="00123D52">
      <w:pPr>
        <w:pStyle w:val="NormalWeb"/>
        <w:numPr>
          <w:ilvl w:val="1"/>
          <w:numId w:val="5"/>
        </w:numPr>
        <w:spacing w:line="360" w:lineRule="auto"/>
        <w:rPr>
          <w:sz w:val="32"/>
          <w:szCs w:val="32"/>
        </w:rPr>
      </w:pPr>
      <w:r w:rsidRPr="00123D52">
        <w:rPr>
          <w:sz w:val="28"/>
          <w:szCs w:val="28"/>
        </w:rPr>
        <w:t>Taught Medical Physics-related courses at undergraduate, Master’s, and General Doctorate levels at Semnan University of Medical Sciences (2023 - Present).</w:t>
      </w:r>
    </w:p>
    <w:p w14:paraId="6EDF6D47" w14:textId="77777777" w:rsidR="00123D52" w:rsidRPr="00123D52" w:rsidRDefault="00123D52" w:rsidP="00123D52">
      <w:pPr>
        <w:pStyle w:val="NormalWeb"/>
        <w:spacing w:line="360" w:lineRule="auto"/>
        <w:ind w:left="1440"/>
        <w:rPr>
          <w:sz w:val="32"/>
          <w:szCs w:val="32"/>
        </w:rPr>
      </w:pPr>
    </w:p>
    <w:p w14:paraId="7043F0DE" w14:textId="77777777" w:rsidR="006C2518" w:rsidRPr="00123D52" w:rsidRDefault="006C2518" w:rsidP="00123D52">
      <w:pPr>
        <w:pStyle w:val="Heading3"/>
        <w:bidi w:val="0"/>
        <w:spacing w:line="360" w:lineRule="auto"/>
        <w:rPr>
          <w:rFonts w:cs="Times New Roman"/>
          <w:sz w:val="28"/>
          <w:szCs w:val="28"/>
        </w:rPr>
      </w:pPr>
      <w:r w:rsidRPr="00123D52">
        <w:rPr>
          <w:rStyle w:val="Strong"/>
          <w:b w:val="0"/>
          <w:bCs w:val="0"/>
          <w:sz w:val="28"/>
          <w:szCs w:val="28"/>
        </w:rPr>
        <w:lastRenderedPageBreak/>
        <w:t>B) Research Experience</w:t>
      </w:r>
    </w:p>
    <w:p w14:paraId="797C60FE" w14:textId="77777777" w:rsidR="006C2518" w:rsidRPr="00123D52" w:rsidRDefault="006C2518" w:rsidP="00123D52">
      <w:pPr>
        <w:pStyle w:val="Heading4"/>
        <w:bidi w:val="0"/>
        <w:spacing w:line="360" w:lineRule="auto"/>
        <w:rPr>
          <w:sz w:val="24"/>
          <w:szCs w:val="24"/>
        </w:rPr>
      </w:pPr>
      <w:r w:rsidRPr="00123D52">
        <w:rPr>
          <w:rStyle w:val="Strong"/>
          <w:b w:val="0"/>
          <w:bCs w:val="0"/>
          <w:sz w:val="24"/>
          <w:szCs w:val="24"/>
        </w:rPr>
        <w:t>Thesis Titles:</w:t>
      </w:r>
    </w:p>
    <w:p w14:paraId="33A1E34A" w14:textId="77777777" w:rsidR="006C2518" w:rsidRPr="00123D52" w:rsidRDefault="006C2518" w:rsidP="00123D52">
      <w:pPr>
        <w:pStyle w:val="NormalWeb"/>
        <w:numPr>
          <w:ilvl w:val="0"/>
          <w:numId w:val="7"/>
        </w:numPr>
        <w:spacing w:line="360" w:lineRule="auto"/>
        <w:rPr>
          <w:sz w:val="28"/>
          <w:szCs w:val="28"/>
        </w:rPr>
      </w:pPr>
      <w:r w:rsidRPr="00123D52">
        <w:rPr>
          <w:rStyle w:val="Strong"/>
          <w:sz w:val="28"/>
          <w:szCs w:val="28"/>
        </w:rPr>
        <w:t>Master’s Thesis:</w:t>
      </w:r>
      <w:r w:rsidRPr="00123D52">
        <w:rPr>
          <w:sz w:val="28"/>
          <w:szCs w:val="28"/>
        </w:rPr>
        <w:t xml:space="preserve"> Enhancing Radiotherapy Efficiency in Breast Cancer Cells (SKBR3 and T47D) Through Combined Therapy Using Drug-Loaded Nanoparticles (2DG/DOX).</w:t>
      </w:r>
    </w:p>
    <w:p w14:paraId="649960D4" w14:textId="77777777" w:rsidR="006C2518" w:rsidRPr="00123D52" w:rsidRDefault="006C2518" w:rsidP="00123D52">
      <w:pPr>
        <w:pStyle w:val="NormalWeb"/>
        <w:numPr>
          <w:ilvl w:val="0"/>
          <w:numId w:val="7"/>
        </w:numPr>
        <w:spacing w:line="360" w:lineRule="auto"/>
        <w:rPr>
          <w:sz w:val="28"/>
          <w:szCs w:val="28"/>
        </w:rPr>
      </w:pPr>
      <w:r w:rsidRPr="00123D52">
        <w:rPr>
          <w:rStyle w:val="Strong"/>
          <w:sz w:val="28"/>
          <w:szCs w:val="28"/>
        </w:rPr>
        <w:t>Ph.D. Dissertation:</w:t>
      </w:r>
      <w:r w:rsidRPr="00123D52">
        <w:rPr>
          <w:sz w:val="28"/>
          <w:szCs w:val="28"/>
        </w:rPr>
        <w:t xml:space="preserve"> Simultaneous Effects of 6 MV Photon Radiotherapy and 13.56 MHz Radiofrequency Hyperthermia on Radiation Sensitivity of MCF7 Breast Cancer Cells in the Presence of Gold Nanoparticles.</w:t>
      </w:r>
    </w:p>
    <w:p w14:paraId="6B2481C6" w14:textId="77777777" w:rsidR="006C2518" w:rsidRPr="00123D52" w:rsidRDefault="006C2518" w:rsidP="00123D52">
      <w:pPr>
        <w:pStyle w:val="Heading4"/>
        <w:bidi w:val="0"/>
        <w:spacing w:line="360" w:lineRule="auto"/>
        <w:rPr>
          <w:sz w:val="24"/>
          <w:szCs w:val="24"/>
        </w:rPr>
      </w:pPr>
      <w:r w:rsidRPr="00123D52">
        <w:rPr>
          <w:rStyle w:val="Strong"/>
          <w:b w:val="0"/>
          <w:bCs w:val="0"/>
          <w:sz w:val="24"/>
          <w:szCs w:val="24"/>
        </w:rPr>
        <w:t>Approved Research Projects:</w:t>
      </w:r>
    </w:p>
    <w:p w14:paraId="7293842F" w14:textId="2745034E" w:rsidR="006C2518" w:rsidRPr="00123D52" w:rsidRDefault="006C2518" w:rsidP="00123D52">
      <w:pPr>
        <w:pStyle w:val="NormalWeb"/>
        <w:numPr>
          <w:ilvl w:val="0"/>
          <w:numId w:val="8"/>
        </w:numPr>
        <w:spacing w:line="360" w:lineRule="auto"/>
        <w:rPr>
          <w:sz w:val="28"/>
          <w:szCs w:val="28"/>
        </w:rPr>
      </w:pPr>
      <w:r w:rsidRPr="00123D52">
        <w:rPr>
          <w:sz w:val="28"/>
          <w:szCs w:val="28"/>
        </w:rPr>
        <w:t>Enhancing Radiotherapy Efficiency in Breast Cancer Cells (SKBR3 and T47D) Through Combined Therapy Using Drug-Loaded Nanoparticles (2DG/DOX) (2012).</w:t>
      </w:r>
    </w:p>
    <w:p w14:paraId="2042F7A3" w14:textId="188D83E6" w:rsidR="006C2518" w:rsidRPr="00123D52" w:rsidRDefault="006C2518" w:rsidP="00123D52">
      <w:pPr>
        <w:pStyle w:val="NormalWeb"/>
        <w:numPr>
          <w:ilvl w:val="0"/>
          <w:numId w:val="8"/>
        </w:numPr>
        <w:spacing w:line="360" w:lineRule="auto"/>
        <w:rPr>
          <w:sz w:val="28"/>
          <w:szCs w:val="28"/>
        </w:rPr>
      </w:pPr>
      <w:r w:rsidRPr="00123D52">
        <w:rPr>
          <w:sz w:val="28"/>
          <w:szCs w:val="28"/>
        </w:rPr>
        <w:t>Using Zeolitic Nanocomposite Containing Chemotherapy Drugs (2DG/DOX) to Improve Radiotherapy Efficacy for Breast Cancer Cells (SKBR3 and T47D) (2013).</w:t>
      </w:r>
    </w:p>
    <w:p w14:paraId="4422E5BB" w14:textId="1CA2EF6F" w:rsidR="006C2518" w:rsidRDefault="006C2518" w:rsidP="00123D52">
      <w:pPr>
        <w:pStyle w:val="NormalWeb"/>
        <w:numPr>
          <w:ilvl w:val="0"/>
          <w:numId w:val="8"/>
        </w:numPr>
        <w:spacing w:line="360" w:lineRule="auto"/>
        <w:rPr>
          <w:sz w:val="28"/>
          <w:szCs w:val="28"/>
        </w:rPr>
      </w:pPr>
      <w:r w:rsidRPr="00123D52">
        <w:rPr>
          <w:sz w:val="28"/>
          <w:szCs w:val="28"/>
        </w:rPr>
        <w:t>Delivery of miR-124 by Mesenchymal Stem Cell-Derived Exosomes to Increase the Radiosensitivity of Colorectal Cancer Cells (2022).</w:t>
      </w:r>
    </w:p>
    <w:p w14:paraId="465FD126" w14:textId="77777777" w:rsidR="00123D52" w:rsidRDefault="00123D52" w:rsidP="00123D52">
      <w:pPr>
        <w:pStyle w:val="NormalWeb"/>
        <w:spacing w:line="360" w:lineRule="auto"/>
        <w:rPr>
          <w:sz w:val="28"/>
          <w:szCs w:val="28"/>
          <w:rtl/>
        </w:rPr>
      </w:pPr>
    </w:p>
    <w:p w14:paraId="1EB8C75E" w14:textId="77777777" w:rsidR="00123D52" w:rsidRDefault="00123D52" w:rsidP="00123D52">
      <w:pPr>
        <w:pStyle w:val="NormalWeb"/>
        <w:spacing w:line="360" w:lineRule="auto"/>
        <w:rPr>
          <w:sz w:val="28"/>
          <w:szCs w:val="28"/>
          <w:rtl/>
        </w:rPr>
      </w:pPr>
    </w:p>
    <w:p w14:paraId="714D68F1" w14:textId="77777777" w:rsidR="00123D52" w:rsidRDefault="00123D52" w:rsidP="00123D52">
      <w:pPr>
        <w:pStyle w:val="NormalWeb"/>
        <w:spacing w:line="360" w:lineRule="auto"/>
        <w:rPr>
          <w:sz w:val="28"/>
          <w:szCs w:val="28"/>
          <w:rtl/>
        </w:rPr>
      </w:pPr>
    </w:p>
    <w:p w14:paraId="75D03D9E" w14:textId="77777777" w:rsidR="00123D52" w:rsidRDefault="00123D52" w:rsidP="00123D52">
      <w:pPr>
        <w:pStyle w:val="NormalWeb"/>
        <w:spacing w:line="360" w:lineRule="auto"/>
        <w:rPr>
          <w:sz w:val="28"/>
          <w:szCs w:val="28"/>
          <w:rtl/>
        </w:rPr>
      </w:pPr>
    </w:p>
    <w:p w14:paraId="2A6E3B1B" w14:textId="77777777" w:rsidR="00123D52" w:rsidRDefault="00123D52" w:rsidP="00123D52">
      <w:pPr>
        <w:pStyle w:val="NormalWeb"/>
        <w:spacing w:line="360" w:lineRule="auto"/>
        <w:rPr>
          <w:sz w:val="28"/>
          <w:szCs w:val="28"/>
          <w:rtl/>
        </w:rPr>
      </w:pPr>
    </w:p>
    <w:p w14:paraId="24858DFA" w14:textId="77777777" w:rsidR="00123D52" w:rsidRPr="00123D52" w:rsidRDefault="00123D52" w:rsidP="00123D52">
      <w:pPr>
        <w:pStyle w:val="NormalWeb"/>
        <w:spacing w:line="360" w:lineRule="auto"/>
        <w:rPr>
          <w:sz w:val="28"/>
          <w:szCs w:val="28"/>
        </w:rPr>
      </w:pPr>
    </w:p>
    <w:p w14:paraId="6171BE3A" w14:textId="43EB8BD7" w:rsidR="00DB77EA" w:rsidRPr="00123D52" w:rsidRDefault="006C2518" w:rsidP="00123D52">
      <w:pPr>
        <w:bidi w:val="0"/>
        <w:spacing w:line="360" w:lineRule="auto"/>
        <w:rPr>
          <w:sz w:val="28"/>
          <w:szCs w:val="28"/>
          <w:rtl/>
        </w:rPr>
      </w:pPr>
      <w:r w:rsidRPr="00123D52">
        <w:rPr>
          <w:rStyle w:val="Strong"/>
          <w:rFonts w:asciiTheme="majorHAnsi" w:eastAsiaTheme="majorEastAsia" w:hAnsiTheme="majorHAnsi" w:cstheme="majorBidi"/>
          <w:i/>
          <w:iCs/>
          <w:color w:val="365F91" w:themeColor="accent1" w:themeShade="BF"/>
          <w:sz w:val="24"/>
          <w:szCs w:val="24"/>
        </w:rPr>
        <w:lastRenderedPageBreak/>
        <w:t>Articles</w:t>
      </w:r>
      <w:r w:rsidRPr="00123D52">
        <w:rPr>
          <w:sz w:val="28"/>
          <w:szCs w:val="28"/>
        </w:rPr>
        <w:t>:</w:t>
      </w:r>
    </w:p>
    <w:tbl>
      <w:tblPr>
        <w:tblStyle w:val="TableGrid"/>
        <w:tblW w:w="9270" w:type="dxa"/>
        <w:tblInd w:w="44" w:type="dxa"/>
        <w:tblLook w:val="04A0" w:firstRow="1" w:lastRow="0" w:firstColumn="1" w:lastColumn="0" w:noHBand="0" w:noVBand="1"/>
      </w:tblPr>
      <w:tblGrid>
        <w:gridCol w:w="682"/>
        <w:gridCol w:w="4370"/>
        <w:gridCol w:w="1843"/>
        <w:gridCol w:w="375"/>
        <w:gridCol w:w="2000"/>
      </w:tblGrid>
      <w:tr w:rsidR="0027339F" w14:paraId="67FBB462" w14:textId="77777777" w:rsidTr="006C2518">
        <w:tc>
          <w:tcPr>
            <w:tcW w:w="682" w:type="dxa"/>
            <w:shd w:val="clear" w:color="auto" w:fill="E5DFEC" w:themeFill="accent4" w:themeFillTint="33"/>
          </w:tcPr>
          <w:p w14:paraId="29351EB7" w14:textId="2004226F" w:rsidR="00684B95" w:rsidRDefault="006C2518" w:rsidP="00123D52">
            <w:pPr>
              <w:spacing w:line="360" w:lineRule="auto"/>
              <w:rPr>
                <w:sz w:val="24"/>
                <w:szCs w:val="24"/>
                <w:rtl/>
              </w:rPr>
            </w:pPr>
            <w:r>
              <w:rPr>
                <w:sz w:val="24"/>
                <w:szCs w:val="24"/>
              </w:rPr>
              <w:t>No</w:t>
            </w:r>
          </w:p>
        </w:tc>
        <w:tc>
          <w:tcPr>
            <w:tcW w:w="4370" w:type="dxa"/>
            <w:shd w:val="clear" w:color="auto" w:fill="E5DFEC" w:themeFill="accent4" w:themeFillTint="33"/>
          </w:tcPr>
          <w:p w14:paraId="75E82054" w14:textId="30BE99CF" w:rsidR="00684B95" w:rsidRPr="00907D25" w:rsidRDefault="006C2518" w:rsidP="00123D52">
            <w:pPr>
              <w:widowControl/>
              <w:bidi w:val="0"/>
              <w:spacing w:line="360" w:lineRule="auto"/>
              <w:jc w:val="center"/>
              <w:rPr>
                <w:rFonts w:eastAsia="Times New Roman" w:cs="Times New Roman"/>
                <w:b/>
                <w:bCs/>
                <w:sz w:val="24"/>
                <w:szCs w:val="24"/>
                <w:rtl/>
                <w:lang w:bidi="ar-SA"/>
              </w:rPr>
            </w:pPr>
            <w:r w:rsidRPr="00907D25">
              <w:rPr>
                <w:rFonts w:eastAsia="Times New Roman" w:cs="Times New Roman"/>
                <w:b/>
                <w:bCs/>
                <w:sz w:val="24"/>
                <w:szCs w:val="24"/>
                <w:lang w:bidi="ar-SA"/>
              </w:rPr>
              <w:t>Title</w:t>
            </w:r>
          </w:p>
        </w:tc>
        <w:tc>
          <w:tcPr>
            <w:tcW w:w="1843" w:type="dxa"/>
            <w:shd w:val="clear" w:color="auto" w:fill="E5DFEC" w:themeFill="accent4" w:themeFillTint="33"/>
          </w:tcPr>
          <w:p w14:paraId="652D2C27" w14:textId="35D40991" w:rsidR="00684B95" w:rsidRPr="00907D25" w:rsidRDefault="006C2518" w:rsidP="00123D52">
            <w:pPr>
              <w:widowControl/>
              <w:spacing w:line="360" w:lineRule="auto"/>
              <w:jc w:val="center"/>
              <w:rPr>
                <w:rFonts w:eastAsia="Times New Roman" w:cs="Times New Roman"/>
                <w:b/>
                <w:bCs/>
                <w:sz w:val="24"/>
                <w:szCs w:val="24"/>
                <w:rtl/>
                <w:lang w:bidi="ar-SA"/>
              </w:rPr>
            </w:pPr>
            <w:r w:rsidRPr="006C2518">
              <w:rPr>
                <w:rFonts w:eastAsia="Times New Roman" w:cs="Times New Roman"/>
                <w:b/>
                <w:bCs/>
                <w:sz w:val="24"/>
                <w:szCs w:val="24"/>
                <w:lang w:bidi="ar-SA"/>
              </w:rPr>
              <w:t>Journal Type</w:t>
            </w:r>
          </w:p>
        </w:tc>
        <w:tc>
          <w:tcPr>
            <w:tcW w:w="375" w:type="dxa"/>
            <w:tcBorders>
              <w:bottom w:val="single" w:sz="4" w:space="0" w:color="auto"/>
              <w:right w:val="nil"/>
            </w:tcBorders>
            <w:shd w:val="clear" w:color="auto" w:fill="E5DFEC" w:themeFill="accent4" w:themeFillTint="33"/>
          </w:tcPr>
          <w:p w14:paraId="1103B4E7" w14:textId="77777777" w:rsidR="00684B95" w:rsidRDefault="00684B95" w:rsidP="00123D52">
            <w:pPr>
              <w:spacing w:line="360" w:lineRule="auto"/>
              <w:jc w:val="center"/>
              <w:rPr>
                <w:sz w:val="24"/>
                <w:szCs w:val="24"/>
                <w:rtl/>
              </w:rPr>
            </w:pPr>
          </w:p>
        </w:tc>
        <w:tc>
          <w:tcPr>
            <w:tcW w:w="2000" w:type="dxa"/>
            <w:tcBorders>
              <w:left w:val="nil"/>
            </w:tcBorders>
            <w:shd w:val="clear" w:color="auto" w:fill="E5DFEC" w:themeFill="accent4" w:themeFillTint="33"/>
          </w:tcPr>
          <w:p w14:paraId="563FC880" w14:textId="1B1F6B46" w:rsidR="00684B95" w:rsidRPr="006C2518" w:rsidRDefault="006C2518" w:rsidP="00123D52">
            <w:pPr>
              <w:widowControl/>
              <w:bidi w:val="0"/>
              <w:spacing w:line="360" w:lineRule="auto"/>
              <w:jc w:val="center"/>
              <w:rPr>
                <w:rFonts w:eastAsia="Times New Roman" w:cs="Times New Roman"/>
                <w:b/>
                <w:bCs/>
                <w:sz w:val="24"/>
                <w:szCs w:val="24"/>
                <w:rtl/>
                <w:lang w:bidi="ar-SA"/>
              </w:rPr>
            </w:pPr>
            <w:r w:rsidRPr="006C2518">
              <w:rPr>
                <w:rFonts w:eastAsia="Times New Roman" w:cs="Times New Roman"/>
                <w:b/>
                <w:bCs/>
                <w:sz w:val="24"/>
                <w:szCs w:val="24"/>
                <w:lang w:bidi="ar-SA"/>
              </w:rPr>
              <w:t>Details</w:t>
            </w:r>
          </w:p>
        </w:tc>
      </w:tr>
      <w:tr w:rsidR="00A50049" w14:paraId="7CCEF763" w14:textId="77777777" w:rsidTr="006C2518">
        <w:tc>
          <w:tcPr>
            <w:tcW w:w="682" w:type="dxa"/>
          </w:tcPr>
          <w:p w14:paraId="3E44044B" w14:textId="3A4D7823" w:rsidR="00A50049" w:rsidRDefault="006C2518" w:rsidP="00123D52">
            <w:pPr>
              <w:spacing w:line="360" w:lineRule="auto"/>
              <w:jc w:val="center"/>
              <w:rPr>
                <w:sz w:val="24"/>
                <w:szCs w:val="24"/>
                <w:rtl/>
              </w:rPr>
            </w:pPr>
            <w:r>
              <w:rPr>
                <w:sz w:val="24"/>
                <w:szCs w:val="24"/>
              </w:rPr>
              <w:t>1</w:t>
            </w:r>
          </w:p>
        </w:tc>
        <w:tc>
          <w:tcPr>
            <w:tcW w:w="4370" w:type="dxa"/>
          </w:tcPr>
          <w:p w14:paraId="52659247" w14:textId="0C2AF816" w:rsidR="00A50049" w:rsidRPr="003053CE" w:rsidRDefault="00A50049" w:rsidP="00123D52">
            <w:pPr>
              <w:bidi w:val="0"/>
              <w:spacing w:line="360" w:lineRule="auto"/>
              <w:jc w:val="both"/>
              <w:rPr>
                <w:color w:val="171C24"/>
                <w:sz w:val="24"/>
                <w:szCs w:val="24"/>
                <w:shd w:val="clear" w:color="auto" w:fill="FFFFFF"/>
                <w:rtl/>
              </w:rPr>
            </w:pPr>
            <w:r w:rsidRPr="00FD77FC">
              <w:rPr>
                <w:color w:val="171C24"/>
                <w:sz w:val="24"/>
                <w:szCs w:val="24"/>
                <w:shd w:val="clear" w:color="auto" w:fill="FFFFFF"/>
              </w:rPr>
              <w:t>Inhibition of tumor energy pathways for targeted</w:t>
            </w:r>
            <w:r>
              <w:rPr>
                <w:color w:val="171C24"/>
                <w:sz w:val="24"/>
                <w:szCs w:val="24"/>
                <w:shd w:val="clear" w:color="auto" w:fill="FFFFFF"/>
              </w:rPr>
              <w:t xml:space="preserve"> </w:t>
            </w:r>
            <w:r w:rsidRPr="00FD77FC">
              <w:rPr>
                <w:color w:val="171C24"/>
                <w:sz w:val="24"/>
                <w:szCs w:val="24"/>
                <w:shd w:val="clear" w:color="auto" w:fill="FFFFFF"/>
              </w:rPr>
              <w:t>esophagus cancer therapy</w:t>
            </w:r>
          </w:p>
        </w:tc>
        <w:tc>
          <w:tcPr>
            <w:tcW w:w="1843" w:type="dxa"/>
            <w:vAlign w:val="center"/>
          </w:tcPr>
          <w:p w14:paraId="1DA99040" w14:textId="677C239B" w:rsidR="00A50049" w:rsidRPr="003053CE" w:rsidRDefault="00A50049" w:rsidP="00123D52">
            <w:pPr>
              <w:bidi w:val="0"/>
              <w:spacing w:line="360" w:lineRule="auto"/>
              <w:jc w:val="center"/>
              <w:rPr>
                <w:color w:val="171C24"/>
                <w:sz w:val="24"/>
                <w:szCs w:val="24"/>
                <w:shd w:val="clear" w:color="auto" w:fill="FFFFFF"/>
              </w:rPr>
            </w:pPr>
            <w:r w:rsidRPr="00A50049">
              <w:rPr>
                <w:color w:val="171C24"/>
                <w:sz w:val="24"/>
                <w:szCs w:val="24"/>
                <w:shd w:val="clear" w:color="auto" w:fill="FFFFFF"/>
              </w:rPr>
              <w:t>ISI</w:t>
            </w:r>
          </w:p>
        </w:tc>
        <w:tc>
          <w:tcPr>
            <w:tcW w:w="375" w:type="dxa"/>
            <w:tcBorders>
              <w:top w:val="single" w:sz="4" w:space="0" w:color="auto"/>
              <w:bottom w:val="single" w:sz="4" w:space="0" w:color="auto"/>
              <w:right w:val="nil"/>
            </w:tcBorders>
          </w:tcPr>
          <w:p w14:paraId="0D0FB4A8" w14:textId="77777777" w:rsidR="00A50049" w:rsidRPr="003053CE" w:rsidRDefault="00A50049" w:rsidP="00123D52">
            <w:pPr>
              <w:bidi w:val="0"/>
              <w:spacing w:line="360" w:lineRule="auto"/>
              <w:jc w:val="center"/>
              <w:rPr>
                <w:color w:val="171C24"/>
                <w:sz w:val="24"/>
                <w:szCs w:val="24"/>
                <w:shd w:val="clear" w:color="auto" w:fill="FFFFFF"/>
                <w:rtl/>
              </w:rPr>
            </w:pPr>
          </w:p>
        </w:tc>
        <w:tc>
          <w:tcPr>
            <w:tcW w:w="2000" w:type="dxa"/>
            <w:tcBorders>
              <w:left w:val="nil"/>
            </w:tcBorders>
            <w:vAlign w:val="center"/>
          </w:tcPr>
          <w:p w14:paraId="206ED351" w14:textId="77777777" w:rsidR="00A50049" w:rsidRPr="003053CE" w:rsidRDefault="00A50049" w:rsidP="00123D52">
            <w:pPr>
              <w:bidi w:val="0"/>
              <w:spacing w:line="360" w:lineRule="auto"/>
              <w:jc w:val="center"/>
              <w:rPr>
                <w:color w:val="171C24"/>
                <w:sz w:val="24"/>
                <w:szCs w:val="24"/>
                <w:shd w:val="clear" w:color="auto" w:fill="FFFFFF"/>
              </w:rPr>
            </w:pPr>
            <w:r w:rsidRPr="003053CE">
              <w:rPr>
                <w:color w:val="171C24"/>
                <w:sz w:val="24"/>
                <w:szCs w:val="24"/>
                <w:shd w:val="clear" w:color="auto" w:fill="FFFFFF"/>
              </w:rPr>
              <w:t>Metabolism</w:t>
            </w:r>
          </w:p>
          <w:p w14:paraId="56AD9461" w14:textId="77777777" w:rsidR="00A50049" w:rsidRPr="00A50049" w:rsidRDefault="00A50049" w:rsidP="00123D52">
            <w:pPr>
              <w:bidi w:val="0"/>
              <w:spacing w:line="360" w:lineRule="auto"/>
              <w:jc w:val="center"/>
              <w:rPr>
                <w:b/>
                <w:bCs/>
                <w:color w:val="171C24"/>
                <w:sz w:val="24"/>
                <w:szCs w:val="24"/>
                <w:shd w:val="clear" w:color="auto" w:fill="FFFFFF"/>
              </w:rPr>
            </w:pPr>
            <w:r w:rsidRPr="00A50049">
              <w:rPr>
                <w:b/>
                <w:bCs/>
                <w:color w:val="171C24"/>
                <w:sz w:val="24"/>
                <w:szCs w:val="24"/>
                <w:shd w:val="clear" w:color="auto" w:fill="FFFFFF"/>
              </w:rPr>
              <w:t>IF: 18.9</w:t>
            </w:r>
          </w:p>
          <w:p w14:paraId="3A417915" w14:textId="5C2231CA" w:rsidR="00A50049" w:rsidRPr="003053CE" w:rsidRDefault="00A50049" w:rsidP="00123D52">
            <w:pPr>
              <w:bidi w:val="0"/>
              <w:spacing w:line="360" w:lineRule="auto"/>
              <w:jc w:val="center"/>
              <w:rPr>
                <w:color w:val="171C24"/>
                <w:sz w:val="24"/>
                <w:szCs w:val="24"/>
                <w:shd w:val="clear" w:color="auto" w:fill="FFFFFF"/>
                <w:rtl/>
              </w:rPr>
            </w:pPr>
            <w:r w:rsidRPr="003053CE">
              <w:rPr>
                <w:color w:val="171C24"/>
                <w:sz w:val="24"/>
                <w:szCs w:val="24"/>
                <w:shd w:val="clear" w:color="auto" w:fill="FFFFFF"/>
              </w:rPr>
              <w:t>2015</w:t>
            </w:r>
          </w:p>
        </w:tc>
      </w:tr>
      <w:tr w:rsidR="00A50049" w14:paraId="2024DE29" w14:textId="77777777" w:rsidTr="006C2518">
        <w:tc>
          <w:tcPr>
            <w:tcW w:w="682" w:type="dxa"/>
          </w:tcPr>
          <w:p w14:paraId="2AF58C39" w14:textId="21FA9A63" w:rsidR="00A50049" w:rsidRDefault="006C2518" w:rsidP="00123D52">
            <w:pPr>
              <w:spacing w:line="360" w:lineRule="auto"/>
              <w:jc w:val="center"/>
              <w:rPr>
                <w:sz w:val="24"/>
                <w:szCs w:val="24"/>
                <w:rtl/>
              </w:rPr>
            </w:pPr>
            <w:r>
              <w:rPr>
                <w:sz w:val="24"/>
                <w:szCs w:val="24"/>
              </w:rPr>
              <w:t>2</w:t>
            </w:r>
          </w:p>
        </w:tc>
        <w:tc>
          <w:tcPr>
            <w:tcW w:w="4370" w:type="dxa"/>
          </w:tcPr>
          <w:p w14:paraId="14C0D9BA" w14:textId="4672D6D2" w:rsidR="00A50049" w:rsidRPr="003053CE" w:rsidRDefault="00A50049" w:rsidP="00123D52">
            <w:pPr>
              <w:bidi w:val="0"/>
              <w:spacing w:line="360" w:lineRule="auto"/>
              <w:jc w:val="both"/>
              <w:rPr>
                <w:color w:val="171C24"/>
                <w:sz w:val="24"/>
                <w:szCs w:val="24"/>
                <w:shd w:val="clear" w:color="auto" w:fill="FFFFFF"/>
                <w:rtl/>
              </w:rPr>
            </w:pPr>
            <w:r w:rsidRPr="00FD77FC">
              <w:rPr>
                <w:color w:val="171C24"/>
                <w:sz w:val="24"/>
                <w:szCs w:val="24"/>
                <w:shd w:val="clear" w:color="auto" w:fill="FFFFFF"/>
              </w:rPr>
              <w:t>Doxorubicin loaded large-pore mesoporous</w:t>
            </w:r>
            <w:r>
              <w:rPr>
                <w:color w:val="171C24"/>
                <w:sz w:val="24"/>
                <w:szCs w:val="24"/>
                <w:shd w:val="clear" w:color="auto" w:fill="FFFFFF"/>
              </w:rPr>
              <w:t xml:space="preserve"> </w:t>
            </w:r>
            <w:r w:rsidRPr="00FD77FC">
              <w:rPr>
                <w:color w:val="171C24"/>
                <w:sz w:val="24"/>
                <w:szCs w:val="24"/>
                <w:shd w:val="clear" w:color="auto" w:fill="FFFFFF"/>
              </w:rPr>
              <w:t>hydroxyapatite coated superparamagnetic Fe3O4</w:t>
            </w:r>
            <w:r>
              <w:rPr>
                <w:color w:val="171C24"/>
                <w:sz w:val="24"/>
                <w:szCs w:val="24"/>
                <w:shd w:val="clear" w:color="auto" w:fill="FFFFFF"/>
              </w:rPr>
              <w:t xml:space="preserve"> </w:t>
            </w:r>
            <w:r w:rsidRPr="00FD77FC">
              <w:rPr>
                <w:color w:val="171C24"/>
                <w:sz w:val="24"/>
                <w:szCs w:val="24"/>
                <w:shd w:val="clear" w:color="auto" w:fill="FFFFFF"/>
              </w:rPr>
              <w:t>nanoparticles for cancer treatment</w:t>
            </w:r>
          </w:p>
        </w:tc>
        <w:tc>
          <w:tcPr>
            <w:tcW w:w="1843" w:type="dxa"/>
            <w:vAlign w:val="center"/>
          </w:tcPr>
          <w:p w14:paraId="456D65F3" w14:textId="3EA80351" w:rsidR="00A50049" w:rsidRPr="003053CE" w:rsidRDefault="00A50049" w:rsidP="00123D52">
            <w:pPr>
              <w:bidi w:val="0"/>
              <w:spacing w:line="360" w:lineRule="auto"/>
              <w:jc w:val="center"/>
              <w:rPr>
                <w:color w:val="171C24"/>
                <w:sz w:val="24"/>
                <w:szCs w:val="24"/>
                <w:shd w:val="clear" w:color="auto" w:fill="FFFFFF"/>
                <w:rtl/>
              </w:rPr>
            </w:pPr>
            <w:r w:rsidRPr="00A50049">
              <w:rPr>
                <w:color w:val="171C24"/>
                <w:sz w:val="24"/>
                <w:szCs w:val="24"/>
                <w:shd w:val="clear" w:color="auto" w:fill="FFFFFF"/>
              </w:rPr>
              <w:t>ISI</w:t>
            </w:r>
          </w:p>
        </w:tc>
        <w:tc>
          <w:tcPr>
            <w:tcW w:w="375" w:type="dxa"/>
            <w:tcBorders>
              <w:top w:val="single" w:sz="4" w:space="0" w:color="auto"/>
              <w:bottom w:val="single" w:sz="4" w:space="0" w:color="auto"/>
              <w:right w:val="nil"/>
            </w:tcBorders>
          </w:tcPr>
          <w:p w14:paraId="10ECE9A8" w14:textId="77777777" w:rsidR="00A50049" w:rsidRPr="003053CE" w:rsidRDefault="00A50049" w:rsidP="00123D52">
            <w:pPr>
              <w:bidi w:val="0"/>
              <w:spacing w:line="360" w:lineRule="auto"/>
              <w:jc w:val="center"/>
              <w:rPr>
                <w:color w:val="171C24"/>
                <w:sz w:val="24"/>
                <w:szCs w:val="24"/>
                <w:shd w:val="clear" w:color="auto" w:fill="FFFFFF"/>
                <w:rtl/>
              </w:rPr>
            </w:pPr>
          </w:p>
        </w:tc>
        <w:tc>
          <w:tcPr>
            <w:tcW w:w="2000" w:type="dxa"/>
            <w:tcBorders>
              <w:left w:val="nil"/>
            </w:tcBorders>
            <w:vAlign w:val="center"/>
          </w:tcPr>
          <w:p w14:paraId="4E9409C6" w14:textId="11BCFB7B" w:rsidR="00A50049" w:rsidRDefault="00A50049" w:rsidP="00123D52">
            <w:pPr>
              <w:bidi w:val="0"/>
              <w:spacing w:line="360" w:lineRule="auto"/>
              <w:jc w:val="center"/>
              <w:rPr>
                <w:color w:val="171C24"/>
                <w:sz w:val="24"/>
                <w:szCs w:val="24"/>
                <w:shd w:val="clear" w:color="auto" w:fill="FFFFFF"/>
              </w:rPr>
            </w:pPr>
            <w:r w:rsidRPr="00A50049">
              <w:rPr>
                <w:color w:val="171C24"/>
                <w:sz w:val="24"/>
                <w:szCs w:val="24"/>
                <w:shd w:val="clear" w:color="auto" w:fill="FFFFFF"/>
              </w:rPr>
              <w:t>Int. J. Pharm.</w:t>
            </w:r>
          </w:p>
          <w:p w14:paraId="2047D87C" w14:textId="77777777" w:rsidR="00A50049" w:rsidRPr="00A50049" w:rsidRDefault="00A50049" w:rsidP="00123D52">
            <w:pPr>
              <w:bidi w:val="0"/>
              <w:spacing w:line="360" w:lineRule="auto"/>
              <w:jc w:val="center"/>
              <w:rPr>
                <w:b/>
                <w:bCs/>
                <w:color w:val="171C24"/>
                <w:sz w:val="24"/>
                <w:szCs w:val="24"/>
                <w:shd w:val="clear" w:color="auto" w:fill="FFFFFF"/>
              </w:rPr>
            </w:pPr>
            <w:r w:rsidRPr="00A50049">
              <w:rPr>
                <w:b/>
                <w:bCs/>
                <w:color w:val="171C24"/>
                <w:sz w:val="24"/>
                <w:szCs w:val="24"/>
                <w:shd w:val="clear" w:color="auto" w:fill="FFFFFF"/>
              </w:rPr>
              <w:t>IF: 10.7</w:t>
            </w:r>
          </w:p>
          <w:p w14:paraId="6BCC855B" w14:textId="7F48C191" w:rsidR="00A50049" w:rsidRPr="003053CE" w:rsidRDefault="00A50049" w:rsidP="00123D52">
            <w:pPr>
              <w:bidi w:val="0"/>
              <w:spacing w:line="360" w:lineRule="auto"/>
              <w:jc w:val="center"/>
              <w:rPr>
                <w:color w:val="171C24"/>
                <w:sz w:val="24"/>
                <w:szCs w:val="24"/>
                <w:shd w:val="clear" w:color="auto" w:fill="FFFFFF"/>
                <w:rtl/>
              </w:rPr>
            </w:pPr>
            <w:r w:rsidRPr="003053CE">
              <w:rPr>
                <w:color w:val="171C24"/>
                <w:sz w:val="24"/>
                <w:szCs w:val="24"/>
                <w:shd w:val="clear" w:color="auto" w:fill="FFFFFF"/>
              </w:rPr>
              <w:t>2015</w:t>
            </w:r>
          </w:p>
        </w:tc>
      </w:tr>
      <w:tr w:rsidR="00A50049" w14:paraId="5026DE48" w14:textId="77777777" w:rsidTr="006C2518">
        <w:tc>
          <w:tcPr>
            <w:tcW w:w="682" w:type="dxa"/>
          </w:tcPr>
          <w:p w14:paraId="416B862A" w14:textId="258FA5B2" w:rsidR="00A50049" w:rsidRDefault="006C2518" w:rsidP="00123D52">
            <w:pPr>
              <w:spacing w:line="360" w:lineRule="auto"/>
              <w:jc w:val="center"/>
              <w:rPr>
                <w:sz w:val="24"/>
                <w:szCs w:val="24"/>
                <w:rtl/>
              </w:rPr>
            </w:pPr>
            <w:r>
              <w:rPr>
                <w:sz w:val="24"/>
                <w:szCs w:val="24"/>
              </w:rPr>
              <w:t>3</w:t>
            </w:r>
          </w:p>
        </w:tc>
        <w:tc>
          <w:tcPr>
            <w:tcW w:w="4370" w:type="dxa"/>
          </w:tcPr>
          <w:p w14:paraId="0002ED19" w14:textId="003DE709" w:rsidR="00A50049" w:rsidRPr="00D85BB3" w:rsidRDefault="00A50049" w:rsidP="00123D52">
            <w:pPr>
              <w:bidi w:val="0"/>
              <w:spacing w:line="360" w:lineRule="auto"/>
              <w:jc w:val="both"/>
              <w:rPr>
                <w:color w:val="171C24"/>
                <w:sz w:val="24"/>
                <w:szCs w:val="24"/>
                <w:shd w:val="clear" w:color="auto" w:fill="FFFFFF"/>
              </w:rPr>
            </w:pPr>
            <w:r w:rsidRPr="002617F4">
              <w:rPr>
                <w:color w:val="171C24"/>
                <w:sz w:val="24"/>
                <w:szCs w:val="24"/>
                <w:shd w:val="clear" w:color="auto" w:fill="FFFFFF"/>
              </w:rPr>
              <w:t>Targeted superparamagnetic nanoparticles coated with</w:t>
            </w:r>
            <w:r>
              <w:rPr>
                <w:color w:val="171C24"/>
                <w:sz w:val="24"/>
                <w:szCs w:val="24"/>
                <w:shd w:val="clear" w:color="auto" w:fill="FFFFFF"/>
              </w:rPr>
              <w:t xml:space="preserve"> </w:t>
            </w:r>
            <w:r w:rsidRPr="002617F4">
              <w:rPr>
                <w:color w:val="171C24"/>
                <w:sz w:val="24"/>
                <w:szCs w:val="24"/>
                <w:shd w:val="clear" w:color="auto" w:fill="FFFFFF"/>
              </w:rPr>
              <w:t>2-deoxy-D-gloucose and doxorubicin more sensitize breast</w:t>
            </w:r>
            <w:r>
              <w:rPr>
                <w:color w:val="171C24"/>
                <w:sz w:val="24"/>
                <w:szCs w:val="24"/>
                <w:shd w:val="clear" w:color="auto" w:fill="FFFFFF"/>
              </w:rPr>
              <w:t xml:space="preserve"> </w:t>
            </w:r>
            <w:r w:rsidRPr="002617F4">
              <w:rPr>
                <w:color w:val="171C24"/>
                <w:sz w:val="24"/>
                <w:szCs w:val="24"/>
                <w:shd w:val="clear" w:color="auto" w:fill="FFFFFF"/>
              </w:rPr>
              <w:t>cancer cells to ionizing radiation</w:t>
            </w:r>
          </w:p>
        </w:tc>
        <w:tc>
          <w:tcPr>
            <w:tcW w:w="1843" w:type="dxa"/>
            <w:vAlign w:val="center"/>
          </w:tcPr>
          <w:p w14:paraId="0B4E808C" w14:textId="61D4F0A0" w:rsidR="00A50049" w:rsidRPr="003053CE" w:rsidRDefault="00A50049" w:rsidP="00123D52">
            <w:pPr>
              <w:bidi w:val="0"/>
              <w:spacing w:line="360" w:lineRule="auto"/>
              <w:jc w:val="center"/>
              <w:rPr>
                <w:color w:val="171C24"/>
                <w:sz w:val="24"/>
                <w:szCs w:val="24"/>
                <w:shd w:val="clear" w:color="auto" w:fill="FFFFFF"/>
              </w:rPr>
            </w:pPr>
            <w:r w:rsidRPr="00A50049">
              <w:rPr>
                <w:color w:val="171C24"/>
                <w:sz w:val="24"/>
                <w:szCs w:val="24"/>
                <w:shd w:val="clear" w:color="auto" w:fill="FFFFFF"/>
              </w:rPr>
              <w:t>ISI</w:t>
            </w:r>
          </w:p>
        </w:tc>
        <w:tc>
          <w:tcPr>
            <w:tcW w:w="375" w:type="dxa"/>
            <w:tcBorders>
              <w:top w:val="single" w:sz="4" w:space="0" w:color="auto"/>
              <w:bottom w:val="single" w:sz="4" w:space="0" w:color="auto"/>
              <w:right w:val="nil"/>
            </w:tcBorders>
          </w:tcPr>
          <w:p w14:paraId="5DA631A2" w14:textId="77777777" w:rsidR="00A50049" w:rsidRPr="003053CE" w:rsidRDefault="00A50049" w:rsidP="00123D52">
            <w:pPr>
              <w:bidi w:val="0"/>
              <w:spacing w:line="360" w:lineRule="auto"/>
              <w:jc w:val="center"/>
              <w:rPr>
                <w:color w:val="171C24"/>
                <w:sz w:val="24"/>
                <w:szCs w:val="24"/>
                <w:shd w:val="clear" w:color="auto" w:fill="FFFFFF"/>
                <w:rtl/>
              </w:rPr>
            </w:pPr>
          </w:p>
        </w:tc>
        <w:tc>
          <w:tcPr>
            <w:tcW w:w="2000" w:type="dxa"/>
            <w:tcBorders>
              <w:left w:val="nil"/>
            </w:tcBorders>
            <w:vAlign w:val="center"/>
          </w:tcPr>
          <w:p w14:paraId="41201859" w14:textId="77777777" w:rsidR="00A50049" w:rsidRPr="00A50049" w:rsidRDefault="00A50049" w:rsidP="00123D52">
            <w:pPr>
              <w:bidi w:val="0"/>
              <w:spacing w:line="360" w:lineRule="auto"/>
              <w:jc w:val="center"/>
              <w:rPr>
                <w:color w:val="171C24"/>
                <w:sz w:val="24"/>
                <w:szCs w:val="24"/>
                <w:shd w:val="clear" w:color="auto" w:fill="FFFFFF"/>
              </w:rPr>
            </w:pPr>
            <w:r w:rsidRPr="00A50049">
              <w:rPr>
                <w:color w:val="171C24"/>
                <w:sz w:val="24"/>
                <w:szCs w:val="24"/>
                <w:shd w:val="clear" w:color="auto" w:fill="FFFFFF"/>
              </w:rPr>
              <w:t>The Breast</w:t>
            </w:r>
          </w:p>
          <w:p w14:paraId="0752D79E" w14:textId="77777777" w:rsidR="00A50049" w:rsidRPr="00A50049" w:rsidRDefault="00A50049" w:rsidP="00123D52">
            <w:pPr>
              <w:bidi w:val="0"/>
              <w:spacing w:line="360" w:lineRule="auto"/>
              <w:jc w:val="center"/>
              <w:rPr>
                <w:b/>
                <w:bCs/>
                <w:color w:val="171C24"/>
                <w:sz w:val="24"/>
                <w:szCs w:val="24"/>
                <w:shd w:val="clear" w:color="auto" w:fill="FFFFFF"/>
              </w:rPr>
            </w:pPr>
            <w:r w:rsidRPr="00A50049">
              <w:rPr>
                <w:b/>
                <w:bCs/>
                <w:color w:val="171C24"/>
                <w:sz w:val="24"/>
                <w:szCs w:val="24"/>
                <w:shd w:val="clear" w:color="auto" w:fill="FFFFFF"/>
              </w:rPr>
              <w:t>IF:5.7</w:t>
            </w:r>
          </w:p>
          <w:p w14:paraId="43DB53B3" w14:textId="10266E3E" w:rsidR="00A50049" w:rsidRPr="003053CE" w:rsidRDefault="00A50049" w:rsidP="00123D52">
            <w:pPr>
              <w:bidi w:val="0"/>
              <w:spacing w:line="360" w:lineRule="auto"/>
              <w:jc w:val="center"/>
              <w:rPr>
                <w:color w:val="171C24"/>
                <w:sz w:val="24"/>
                <w:szCs w:val="24"/>
                <w:shd w:val="clear" w:color="auto" w:fill="FFFFFF"/>
              </w:rPr>
            </w:pPr>
            <w:r w:rsidRPr="00A50049">
              <w:rPr>
                <w:color w:val="171C24"/>
                <w:sz w:val="24"/>
                <w:szCs w:val="24"/>
                <w:shd w:val="clear" w:color="auto" w:fill="FFFFFF"/>
              </w:rPr>
              <w:t>2017</w:t>
            </w:r>
          </w:p>
        </w:tc>
      </w:tr>
      <w:tr w:rsidR="00A50049" w14:paraId="2703F4EE" w14:textId="77777777" w:rsidTr="006C2518">
        <w:tc>
          <w:tcPr>
            <w:tcW w:w="682" w:type="dxa"/>
          </w:tcPr>
          <w:p w14:paraId="7E2A4B57" w14:textId="76A9BEB4" w:rsidR="00A50049" w:rsidRDefault="006C2518" w:rsidP="00123D52">
            <w:pPr>
              <w:spacing w:line="360" w:lineRule="auto"/>
              <w:jc w:val="center"/>
              <w:rPr>
                <w:sz w:val="24"/>
                <w:szCs w:val="24"/>
                <w:rtl/>
              </w:rPr>
            </w:pPr>
            <w:r>
              <w:rPr>
                <w:sz w:val="24"/>
                <w:szCs w:val="24"/>
              </w:rPr>
              <w:t>4</w:t>
            </w:r>
          </w:p>
        </w:tc>
        <w:tc>
          <w:tcPr>
            <w:tcW w:w="4370" w:type="dxa"/>
          </w:tcPr>
          <w:p w14:paraId="37994AFB" w14:textId="49C8A586" w:rsidR="00A50049" w:rsidRPr="00D85BB3" w:rsidRDefault="00A50049" w:rsidP="00123D52">
            <w:pPr>
              <w:bidi w:val="0"/>
              <w:spacing w:line="360" w:lineRule="auto"/>
              <w:jc w:val="both"/>
              <w:rPr>
                <w:color w:val="171C24"/>
                <w:sz w:val="24"/>
                <w:szCs w:val="24"/>
                <w:shd w:val="clear" w:color="auto" w:fill="FFFFFF"/>
              </w:rPr>
            </w:pPr>
            <w:r w:rsidRPr="0066041E">
              <w:rPr>
                <w:color w:val="171C24"/>
                <w:sz w:val="24"/>
                <w:szCs w:val="24"/>
                <w:shd w:val="clear" w:color="auto" w:fill="FFFFFF"/>
              </w:rPr>
              <w:t>Effect of 13.56 MHz radiofrequency hyperthermia on mitotic cell cycle arrest in MCF7 breast cancer cell line and suggest a time interval for radiotherapy</w:t>
            </w:r>
          </w:p>
        </w:tc>
        <w:tc>
          <w:tcPr>
            <w:tcW w:w="1843" w:type="dxa"/>
            <w:vAlign w:val="center"/>
          </w:tcPr>
          <w:p w14:paraId="0EDE5B20" w14:textId="3182EE6E" w:rsidR="00A50049" w:rsidRPr="00A50049" w:rsidRDefault="00A50049" w:rsidP="00123D52">
            <w:pPr>
              <w:bidi w:val="0"/>
              <w:spacing w:line="360" w:lineRule="auto"/>
              <w:jc w:val="center"/>
              <w:rPr>
                <w:color w:val="171C24"/>
                <w:sz w:val="24"/>
                <w:szCs w:val="24"/>
                <w:shd w:val="clear" w:color="auto" w:fill="FFFFFF"/>
              </w:rPr>
            </w:pPr>
            <w:r w:rsidRPr="00A50049">
              <w:rPr>
                <w:color w:val="171C24"/>
                <w:sz w:val="24"/>
                <w:szCs w:val="24"/>
                <w:shd w:val="clear" w:color="auto" w:fill="FFFFFF"/>
              </w:rPr>
              <w:t>ISI</w:t>
            </w:r>
          </w:p>
        </w:tc>
        <w:tc>
          <w:tcPr>
            <w:tcW w:w="375" w:type="dxa"/>
            <w:tcBorders>
              <w:top w:val="single" w:sz="4" w:space="0" w:color="auto"/>
              <w:bottom w:val="single" w:sz="4" w:space="0" w:color="auto"/>
              <w:right w:val="nil"/>
            </w:tcBorders>
          </w:tcPr>
          <w:p w14:paraId="035A893C" w14:textId="77777777" w:rsidR="00A50049" w:rsidRPr="00A50049" w:rsidRDefault="00A50049" w:rsidP="00123D52">
            <w:pPr>
              <w:bidi w:val="0"/>
              <w:spacing w:line="360" w:lineRule="auto"/>
              <w:jc w:val="center"/>
              <w:rPr>
                <w:color w:val="171C24"/>
                <w:sz w:val="24"/>
                <w:szCs w:val="24"/>
                <w:shd w:val="clear" w:color="auto" w:fill="FFFFFF"/>
                <w:rtl/>
              </w:rPr>
            </w:pPr>
          </w:p>
        </w:tc>
        <w:tc>
          <w:tcPr>
            <w:tcW w:w="2000" w:type="dxa"/>
            <w:tcBorders>
              <w:left w:val="nil"/>
            </w:tcBorders>
            <w:vAlign w:val="center"/>
          </w:tcPr>
          <w:p w14:paraId="0701C942" w14:textId="77777777" w:rsidR="00A50049" w:rsidRPr="00A50049" w:rsidRDefault="00A50049" w:rsidP="00123D52">
            <w:pPr>
              <w:bidi w:val="0"/>
              <w:spacing w:line="360" w:lineRule="auto"/>
              <w:jc w:val="center"/>
              <w:rPr>
                <w:color w:val="171C24"/>
                <w:sz w:val="24"/>
                <w:szCs w:val="24"/>
                <w:shd w:val="clear" w:color="auto" w:fill="FFFFFF"/>
              </w:rPr>
            </w:pPr>
            <w:r w:rsidRPr="00A50049">
              <w:rPr>
                <w:color w:val="171C24"/>
                <w:sz w:val="24"/>
                <w:szCs w:val="24"/>
                <w:shd w:val="clear" w:color="auto" w:fill="FFFFFF"/>
              </w:rPr>
              <w:t>JCRT</w:t>
            </w:r>
          </w:p>
          <w:p w14:paraId="6A928D8A" w14:textId="77777777" w:rsidR="00A50049" w:rsidRPr="00A50049" w:rsidRDefault="00A50049" w:rsidP="00123D52">
            <w:pPr>
              <w:bidi w:val="0"/>
              <w:spacing w:line="360" w:lineRule="auto"/>
              <w:jc w:val="center"/>
              <w:rPr>
                <w:b/>
                <w:bCs/>
                <w:color w:val="171C24"/>
                <w:sz w:val="24"/>
                <w:szCs w:val="24"/>
                <w:shd w:val="clear" w:color="auto" w:fill="FFFFFF"/>
              </w:rPr>
            </w:pPr>
            <w:r w:rsidRPr="00A50049">
              <w:rPr>
                <w:b/>
                <w:bCs/>
                <w:color w:val="171C24"/>
                <w:sz w:val="24"/>
                <w:szCs w:val="24"/>
                <w:shd w:val="clear" w:color="auto" w:fill="FFFFFF"/>
              </w:rPr>
              <w:t>IF: 1.4</w:t>
            </w:r>
          </w:p>
          <w:p w14:paraId="5A5C6E65" w14:textId="134CD98D" w:rsidR="00A50049" w:rsidRPr="003053CE" w:rsidRDefault="00A50049" w:rsidP="00123D52">
            <w:pPr>
              <w:bidi w:val="0"/>
              <w:spacing w:line="360" w:lineRule="auto"/>
              <w:jc w:val="center"/>
              <w:rPr>
                <w:color w:val="171C24"/>
                <w:sz w:val="24"/>
                <w:szCs w:val="24"/>
                <w:shd w:val="clear" w:color="auto" w:fill="FFFFFF"/>
              </w:rPr>
            </w:pPr>
            <w:r w:rsidRPr="00A50049">
              <w:rPr>
                <w:color w:val="171C24"/>
                <w:sz w:val="24"/>
                <w:szCs w:val="24"/>
                <w:shd w:val="clear" w:color="auto" w:fill="FFFFFF"/>
              </w:rPr>
              <w:t>2023</w:t>
            </w:r>
          </w:p>
        </w:tc>
      </w:tr>
      <w:tr w:rsidR="00A50049" w14:paraId="210DC57D" w14:textId="77777777" w:rsidTr="006C2518">
        <w:tc>
          <w:tcPr>
            <w:tcW w:w="682" w:type="dxa"/>
          </w:tcPr>
          <w:p w14:paraId="5DD818F0" w14:textId="25032937" w:rsidR="00A50049" w:rsidRDefault="006C2518" w:rsidP="00123D52">
            <w:pPr>
              <w:spacing w:line="360" w:lineRule="auto"/>
              <w:jc w:val="center"/>
              <w:rPr>
                <w:sz w:val="24"/>
                <w:szCs w:val="24"/>
                <w:rtl/>
              </w:rPr>
            </w:pPr>
            <w:r>
              <w:rPr>
                <w:sz w:val="24"/>
                <w:szCs w:val="24"/>
              </w:rPr>
              <w:t>5</w:t>
            </w:r>
          </w:p>
        </w:tc>
        <w:tc>
          <w:tcPr>
            <w:tcW w:w="4370" w:type="dxa"/>
          </w:tcPr>
          <w:p w14:paraId="5E5D3EBE" w14:textId="2FEF0C8A" w:rsidR="00A50049" w:rsidRPr="00D85BB3" w:rsidRDefault="00A50049" w:rsidP="00123D52">
            <w:pPr>
              <w:bidi w:val="0"/>
              <w:spacing w:line="360" w:lineRule="auto"/>
              <w:jc w:val="both"/>
              <w:rPr>
                <w:color w:val="171C24"/>
                <w:sz w:val="24"/>
                <w:szCs w:val="24"/>
                <w:shd w:val="clear" w:color="auto" w:fill="FFFFFF"/>
              </w:rPr>
            </w:pPr>
            <w:r w:rsidRPr="00FD77FC">
              <w:rPr>
                <w:color w:val="171C24"/>
                <w:sz w:val="24"/>
                <w:szCs w:val="24"/>
                <w:shd w:val="clear" w:color="auto" w:fill="FFFFFF"/>
              </w:rPr>
              <w:t xml:space="preserve">Radio-protective effect of </w:t>
            </w:r>
            <w:proofErr w:type="spellStart"/>
            <w:r w:rsidRPr="00FD77FC">
              <w:rPr>
                <w:color w:val="171C24"/>
                <w:sz w:val="24"/>
                <w:szCs w:val="24"/>
                <w:shd w:val="clear" w:color="auto" w:fill="FFFFFF"/>
              </w:rPr>
              <w:t>amifostine</w:t>
            </w:r>
            <w:proofErr w:type="spellEnd"/>
            <w:r w:rsidRPr="00FD77FC">
              <w:rPr>
                <w:color w:val="171C24"/>
                <w:sz w:val="24"/>
                <w:szCs w:val="24"/>
                <w:shd w:val="clear" w:color="auto" w:fill="FFFFFF"/>
              </w:rPr>
              <w:t xml:space="preserve"> and lycopene</w:t>
            </w:r>
            <w:r>
              <w:rPr>
                <w:color w:val="171C24"/>
                <w:sz w:val="24"/>
                <w:szCs w:val="24"/>
                <w:shd w:val="clear" w:color="auto" w:fill="FFFFFF"/>
              </w:rPr>
              <w:t xml:space="preserve"> </w:t>
            </w:r>
            <w:r w:rsidRPr="00FD77FC">
              <w:rPr>
                <w:color w:val="171C24"/>
                <w:sz w:val="24"/>
                <w:szCs w:val="24"/>
                <w:shd w:val="clear" w:color="auto" w:fill="FFFFFF"/>
              </w:rPr>
              <w:t>on human peripheral blood lymphocytes in</w:t>
            </w:r>
            <w:r>
              <w:rPr>
                <w:color w:val="171C24"/>
                <w:sz w:val="24"/>
                <w:szCs w:val="24"/>
                <w:shd w:val="clear" w:color="auto" w:fill="FFFFFF"/>
              </w:rPr>
              <w:t>-</w:t>
            </w:r>
            <w:r w:rsidRPr="00FD77FC">
              <w:rPr>
                <w:color w:val="171C24"/>
                <w:sz w:val="24"/>
                <w:szCs w:val="24"/>
                <w:shd w:val="clear" w:color="auto" w:fill="FFFFFF"/>
              </w:rPr>
              <w:t>vitro</w:t>
            </w:r>
          </w:p>
        </w:tc>
        <w:tc>
          <w:tcPr>
            <w:tcW w:w="1843" w:type="dxa"/>
            <w:vAlign w:val="center"/>
          </w:tcPr>
          <w:p w14:paraId="3A3CF38A" w14:textId="00C0DE5B" w:rsidR="00A50049" w:rsidRPr="00A50049" w:rsidRDefault="00A50049" w:rsidP="00123D52">
            <w:pPr>
              <w:bidi w:val="0"/>
              <w:spacing w:line="360" w:lineRule="auto"/>
              <w:jc w:val="center"/>
              <w:rPr>
                <w:color w:val="171C24"/>
                <w:sz w:val="24"/>
                <w:szCs w:val="24"/>
                <w:shd w:val="clear" w:color="auto" w:fill="FFFFFF"/>
              </w:rPr>
            </w:pPr>
            <w:r w:rsidRPr="003053CE">
              <w:rPr>
                <w:color w:val="171C24"/>
                <w:sz w:val="24"/>
                <w:szCs w:val="24"/>
                <w:shd w:val="clear" w:color="auto" w:fill="FFFFFF"/>
              </w:rPr>
              <w:t>ISI</w:t>
            </w:r>
          </w:p>
        </w:tc>
        <w:tc>
          <w:tcPr>
            <w:tcW w:w="375" w:type="dxa"/>
            <w:tcBorders>
              <w:top w:val="single" w:sz="4" w:space="0" w:color="auto"/>
              <w:bottom w:val="single" w:sz="4" w:space="0" w:color="auto"/>
              <w:right w:val="nil"/>
            </w:tcBorders>
          </w:tcPr>
          <w:p w14:paraId="4F57B9EB" w14:textId="77777777" w:rsidR="00A50049" w:rsidRPr="00A50049" w:rsidRDefault="00A50049" w:rsidP="00123D52">
            <w:pPr>
              <w:bidi w:val="0"/>
              <w:spacing w:line="360" w:lineRule="auto"/>
              <w:jc w:val="center"/>
              <w:rPr>
                <w:color w:val="171C24"/>
                <w:sz w:val="24"/>
                <w:szCs w:val="24"/>
                <w:shd w:val="clear" w:color="auto" w:fill="FFFFFF"/>
                <w:rtl/>
              </w:rPr>
            </w:pPr>
          </w:p>
        </w:tc>
        <w:tc>
          <w:tcPr>
            <w:tcW w:w="2000" w:type="dxa"/>
            <w:tcBorders>
              <w:left w:val="nil"/>
            </w:tcBorders>
            <w:vAlign w:val="center"/>
          </w:tcPr>
          <w:p w14:paraId="021F02D5" w14:textId="77777777" w:rsidR="00A50049" w:rsidRDefault="00A50049" w:rsidP="00123D52">
            <w:pPr>
              <w:bidi w:val="0"/>
              <w:spacing w:line="360" w:lineRule="auto"/>
              <w:jc w:val="center"/>
              <w:rPr>
                <w:color w:val="171C24"/>
                <w:sz w:val="24"/>
                <w:szCs w:val="24"/>
                <w:shd w:val="clear" w:color="auto" w:fill="FFFFFF"/>
              </w:rPr>
            </w:pPr>
            <w:r w:rsidRPr="003053CE">
              <w:rPr>
                <w:color w:val="171C24"/>
                <w:sz w:val="24"/>
                <w:szCs w:val="24"/>
                <w:shd w:val="clear" w:color="auto" w:fill="FFFFFF"/>
              </w:rPr>
              <w:t>JMIRS</w:t>
            </w:r>
          </w:p>
          <w:p w14:paraId="7ABC5A93" w14:textId="77777777" w:rsidR="00A50049" w:rsidRPr="00A50049" w:rsidRDefault="00A50049" w:rsidP="00123D52">
            <w:pPr>
              <w:bidi w:val="0"/>
              <w:spacing w:line="360" w:lineRule="auto"/>
              <w:jc w:val="center"/>
              <w:rPr>
                <w:b/>
                <w:bCs/>
                <w:color w:val="171C24"/>
                <w:sz w:val="24"/>
                <w:szCs w:val="24"/>
                <w:shd w:val="clear" w:color="auto" w:fill="FFFFFF"/>
              </w:rPr>
            </w:pPr>
            <w:r w:rsidRPr="00A50049">
              <w:rPr>
                <w:b/>
                <w:bCs/>
                <w:color w:val="171C24"/>
                <w:sz w:val="24"/>
                <w:szCs w:val="24"/>
                <w:shd w:val="clear" w:color="auto" w:fill="FFFFFF"/>
              </w:rPr>
              <w:t>IF: 1.3</w:t>
            </w:r>
          </w:p>
          <w:p w14:paraId="3310A81A" w14:textId="26EBC3C2" w:rsidR="00A50049" w:rsidRPr="00A50049" w:rsidRDefault="00A50049" w:rsidP="00123D52">
            <w:pPr>
              <w:bidi w:val="0"/>
              <w:spacing w:line="360" w:lineRule="auto"/>
              <w:jc w:val="center"/>
              <w:rPr>
                <w:color w:val="171C24"/>
                <w:sz w:val="24"/>
                <w:szCs w:val="24"/>
                <w:shd w:val="clear" w:color="auto" w:fill="FFFFFF"/>
              </w:rPr>
            </w:pPr>
            <w:r w:rsidRPr="003053CE">
              <w:rPr>
                <w:color w:val="171C24"/>
                <w:sz w:val="24"/>
                <w:szCs w:val="24"/>
                <w:shd w:val="clear" w:color="auto" w:fill="FFFFFF"/>
              </w:rPr>
              <w:t>2015</w:t>
            </w:r>
          </w:p>
        </w:tc>
      </w:tr>
      <w:tr w:rsidR="00A50049" w14:paraId="720C7050" w14:textId="77777777" w:rsidTr="006C2518">
        <w:tc>
          <w:tcPr>
            <w:tcW w:w="682" w:type="dxa"/>
          </w:tcPr>
          <w:p w14:paraId="285E104C" w14:textId="098DB4B0" w:rsidR="00A50049" w:rsidRDefault="006C2518" w:rsidP="00123D52">
            <w:pPr>
              <w:spacing w:line="360" w:lineRule="auto"/>
              <w:jc w:val="center"/>
              <w:rPr>
                <w:sz w:val="24"/>
                <w:szCs w:val="24"/>
                <w:rtl/>
              </w:rPr>
            </w:pPr>
            <w:r>
              <w:rPr>
                <w:sz w:val="24"/>
                <w:szCs w:val="24"/>
              </w:rPr>
              <w:t>6</w:t>
            </w:r>
          </w:p>
        </w:tc>
        <w:tc>
          <w:tcPr>
            <w:tcW w:w="4370" w:type="dxa"/>
          </w:tcPr>
          <w:p w14:paraId="6E4E2F70" w14:textId="12A7B540" w:rsidR="00A50049" w:rsidRPr="00FD77FC" w:rsidRDefault="00A50049" w:rsidP="00123D52">
            <w:pPr>
              <w:bidi w:val="0"/>
              <w:spacing w:line="360" w:lineRule="auto"/>
              <w:jc w:val="both"/>
              <w:rPr>
                <w:color w:val="171C24"/>
                <w:sz w:val="24"/>
                <w:szCs w:val="24"/>
                <w:shd w:val="clear" w:color="auto" w:fill="FFFFFF"/>
              </w:rPr>
            </w:pPr>
            <w:r w:rsidRPr="00D85BB3">
              <w:rPr>
                <w:color w:val="171C24"/>
                <w:sz w:val="24"/>
                <w:szCs w:val="24"/>
                <w:shd w:val="clear" w:color="auto" w:fill="FFFFFF"/>
              </w:rPr>
              <w:t>Nanoparticles promising new method to boost oncology outcome in breast cancer</w:t>
            </w:r>
          </w:p>
        </w:tc>
        <w:tc>
          <w:tcPr>
            <w:tcW w:w="1843" w:type="dxa"/>
            <w:vAlign w:val="center"/>
          </w:tcPr>
          <w:p w14:paraId="487EC9D5" w14:textId="46E116AA" w:rsidR="00A50049" w:rsidRPr="00A50049" w:rsidRDefault="007A4296" w:rsidP="00123D52">
            <w:pPr>
              <w:bidi w:val="0"/>
              <w:spacing w:line="360" w:lineRule="auto"/>
              <w:jc w:val="center"/>
              <w:rPr>
                <w:color w:val="171C24"/>
                <w:sz w:val="24"/>
                <w:szCs w:val="24"/>
                <w:shd w:val="clear" w:color="auto" w:fill="FFFFFF"/>
              </w:rPr>
            </w:pPr>
            <w:hyperlink r:id="rId6" w:tgtFrame="_blank" w:history="1">
              <w:r w:rsidR="00A50049" w:rsidRPr="003053CE">
                <w:rPr>
                  <w:color w:val="171C24"/>
                  <w:sz w:val="24"/>
                  <w:szCs w:val="24"/>
                  <w:shd w:val="clear" w:color="auto" w:fill="FFFFFF"/>
                </w:rPr>
                <w:t>Scopus</w:t>
              </w:r>
            </w:hyperlink>
            <w:r w:rsidR="00A50049" w:rsidRPr="003053CE">
              <w:rPr>
                <w:color w:val="171C24"/>
                <w:sz w:val="24"/>
                <w:szCs w:val="24"/>
                <w:shd w:val="clear" w:color="auto" w:fill="FFFFFF"/>
              </w:rPr>
              <w:t>, </w:t>
            </w:r>
            <w:hyperlink r:id="rId7" w:tgtFrame="_blank" w:history="1">
              <w:r w:rsidR="00A50049" w:rsidRPr="003053CE">
                <w:rPr>
                  <w:color w:val="171C24"/>
                  <w:sz w:val="24"/>
                  <w:szCs w:val="24"/>
                  <w:shd w:val="clear" w:color="auto" w:fill="FFFFFF"/>
                </w:rPr>
                <w:t>PubMed</w:t>
              </w:r>
            </w:hyperlink>
          </w:p>
        </w:tc>
        <w:tc>
          <w:tcPr>
            <w:tcW w:w="375" w:type="dxa"/>
            <w:tcBorders>
              <w:top w:val="single" w:sz="4" w:space="0" w:color="auto"/>
              <w:bottom w:val="single" w:sz="4" w:space="0" w:color="auto"/>
              <w:right w:val="nil"/>
            </w:tcBorders>
          </w:tcPr>
          <w:p w14:paraId="4311CAD1" w14:textId="77777777" w:rsidR="00A50049" w:rsidRPr="00A50049" w:rsidRDefault="00A50049" w:rsidP="00123D52">
            <w:pPr>
              <w:bidi w:val="0"/>
              <w:spacing w:line="360" w:lineRule="auto"/>
              <w:jc w:val="center"/>
              <w:rPr>
                <w:color w:val="171C24"/>
                <w:sz w:val="24"/>
                <w:szCs w:val="24"/>
                <w:shd w:val="clear" w:color="auto" w:fill="FFFFFF"/>
                <w:rtl/>
              </w:rPr>
            </w:pPr>
          </w:p>
        </w:tc>
        <w:tc>
          <w:tcPr>
            <w:tcW w:w="2000" w:type="dxa"/>
            <w:tcBorders>
              <w:left w:val="nil"/>
            </w:tcBorders>
            <w:vAlign w:val="center"/>
          </w:tcPr>
          <w:p w14:paraId="442F5D5C" w14:textId="77777777" w:rsidR="00A50049" w:rsidRDefault="00A50049" w:rsidP="00123D52">
            <w:pPr>
              <w:bidi w:val="0"/>
              <w:spacing w:line="360" w:lineRule="auto"/>
              <w:jc w:val="center"/>
              <w:rPr>
                <w:color w:val="171C24"/>
                <w:sz w:val="24"/>
                <w:szCs w:val="24"/>
                <w:shd w:val="clear" w:color="auto" w:fill="FFFFFF"/>
              </w:rPr>
            </w:pPr>
            <w:r>
              <w:rPr>
                <w:color w:val="171C24"/>
                <w:sz w:val="24"/>
                <w:szCs w:val="24"/>
                <w:shd w:val="clear" w:color="auto" w:fill="FFFFFF"/>
              </w:rPr>
              <w:t>APJCP</w:t>
            </w:r>
          </w:p>
          <w:p w14:paraId="0D2F5324" w14:textId="77777777" w:rsidR="00A50049" w:rsidRPr="00A50049" w:rsidRDefault="00A50049" w:rsidP="00123D52">
            <w:pPr>
              <w:bidi w:val="0"/>
              <w:spacing w:line="360" w:lineRule="auto"/>
              <w:jc w:val="center"/>
              <w:rPr>
                <w:b/>
                <w:bCs/>
                <w:color w:val="171C24"/>
                <w:sz w:val="24"/>
                <w:szCs w:val="24"/>
                <w:shd w:val="clear" w:color="auto" w:fill="FFFFFF"/>
              </w:rPr>
            </w:pPr>
            <w:r w:rsidRPr="00A50049">
              <w:rPr>
                <w:b/>
                <w:bCs/>
                <w:color w:val="171C24"/>
                <w:sz w:val="24"/>
                <w:szCs w:val="24"/>
                <w:shd w:val="clear" w:color="auto" w:fill="FFFFFF"/>
              </w:rPr>
              <w:t>CiteScore: 2.8</w:t>
            </w:r>
          </w:p>
          <w:p w14:paraId="0B12F9F9" w14:textId="12C17C05" w:rsidR="00A50049" w:rsidRPr="00A50049" w:rsidRDefault="00A50049" w:rsidP="00123D52">
            <w:pPr>
              <w:bidi w:val="0"/>
              <w:spacing w:line="360" w:lineRule="auto"/>
              <w:jc w:val="center"/>
              <w:rPr>
                <w:color w:val="171C24"/>
                <w:sz w:val="24"/>
                <w:szCs w:val="24"/>
                <w:shd w:val="clear" w:color="auto" w:fill="FFFFFF"/>
              </w:rPr>
            </w:pPr>
            <w:r w:rsidRPr="003053CE">
              <w:rPr>
                <w:color w:val="171C24"/>
                <w:sz w:val="24"/>
                <w:szCs w:val="24"/>
                <w:shd w:val="clear" w:color="auto" w:fill="FFFFFF"/>
              </w:rPr>
              <w:t>2014</w:t>
            </w:r>
          </w:p>
        </w:tc>
      </w:tr>
      <w:tr w:rsidR="00A50049" w14:paraId="0C34B54A" w14:textId="77777777" w:rsidTr="006C2518">
        <w:tc>
          <w:tcPr>
            <w:tcW w:w="682" w:type="dxa"/>
          </w:tcPr>
          <w:p w14:paraId="0F97AFF5" w14:textId="2FC8495C" w:rsidR="00A50049" w:rsidRDefault="006C2518" w:rsidP="00123D52">
            <w:pPr>
              <w:spacing w:line="360" w:lineRule="auto"/>
              <w:jc w:val="center"/>
              <w:rPr>
                <w:sz w:val="24"/>
                <w:szCs w:val="24"/>
                <w:rtl/>
              </w:rPr>
            </w:pPr>
            <w:r>
              <w:rPr>
                <w:sz w:val="24"/>
                <w:szCs w:val="24"/>
              </w:rPr>
              <w:t>7</w:t>
            </w:r>
          </w:p>
        </w:tc>
        <w:tc>
          <w:tcPr>
            <w:tcW w:w="4370" w:type="dxa"/>
          </w:tcPr>
          <w:p w14:paraId="49460054" w14:textId="3B13FC77" w:rsidR="00A50049" w:rsidRPr="002617F4" w:rsidRDefault="00A50049" w:rsidP="00123D52">
            <w:pPr>
              <w:bidi w:val="0"/>
              <w:spacing w:line="360" w:lineRule="auto"/>
              <w:jc w:val="both"/>
              <w:rPr>
                <w:color w:val="171C24"/>
                <w:sz w:val="24"/>
                <w:szCs w:val="24"/>
                <w:shd w:val="clear" w:color="auto" w:fill="FFFFFF"/>
              </w:rPr>
            </w:pPr>
            <w:r w:rsidRPr="00D85BB3">
              <w:rPr>
                <w:color w:val="171C24"/>
                <w:sz w:val="24"/>
                <w:szCs w:val="24"/>
                <w:shd w:val="clear" w:color="auto" w:fill="FFFFFF"/>
              </w:rPr>
              <w:t>A</w:t>
            </w:r>
            <w:r>
              <w:rPr>
                <w:color w:val="171C24"/>
                <w:sz w:val="24"/>
                <w:szCs w:val="24"/>
                <w:shd w:val="clear" w:color="auto" w:fill="FFFFFF"/>
              </w:rPr>
              <w:t xml:space="preserve"> </w:t>
            </w:r>
            <w:r w:rsidRPr="00D85BB3">
              <w:rPr>
                <w:color w:val="171C24"/>
                <w:sz w:val="24"/>
                <w:szCs w:val="24"/>
                <w:shd w:val="clear" w:color="auto" w:fill="FFFFFF"/>
              </w:rPr>
              <w:t>novel therapeutic approach for breast cancer: nanoparticle coated with 2-deoxy-Dglucose</w:t>
            </w:r>
            <w:r>
              <w:rPr>
                <w:color w:val="171C24"/>
                <w:sz w:val="24"/>
                <w:szCs w:val="24"/>
                <w:shd w:val="clear" w:color="auto" w:fill="FFFFFF"/>
              </w:rPr>
              <w:t xml:space="preserve"> </w:t>
            </w:r>
            <w:r w:rsidRPr="00D85BB3">
              <w:rPr>
                <w:color w:val="171C24"/>
                <w:sz w:val="24"/>
                <w:szCs w:val="24"/>
                <w:shd w:val="clear" w:color="auto" w:fill="FFFFFF"/>
              </w:rPr>
              <w:t>and doxorubicin</w:t>
            </w:r>
          </w:p>
        </w:tc>
        <w:tc>
          <w:tcPr>
            <w:tcW w:w="1843" w:type="dxa"/>
            <w:vAlign w:val="center"/>
          </w:tcPr>
          <w:p w14:paraId="1D876472" w14:textId="08C93408" w:rsidR="00A50049" w:rsidRPr="00A50049" w:rsidRDefault="00A50049" w:rsidP="00123D52">
            <w:pPr>
              <w:spacing w:line="360" w:lineRule="auto"/>
              <w:jc w:val="center"/>
              <w:rPr>
                <w:color w:val="171C24"/>
                <w:sz w:val="24"/>
                <w:szCs w:val="24"/>
                <w:shd w:val="clear" w:color="auto" w:fill="FFFFFF"/>
              </w:rPr>
            </w:pPr>
            <w:r w:rsidRPr="003053CE">
              <w:rPr>
                <w:color w:val="171C24"/>
                <w:sz w:val="24"/>
                <w:szCs w:val="24"/>
                <w:shd w:val="clear" w:color="auto" w:fill="FFFFFF"/>
              </w:rPr>
              <w:t>PubMed</w:t>
            </w:r>
          </w:p>
        </w:tc>
        <w:tc>
          <w:tcPr>
            <w:tcW w:w="375" w:type="dxa"/>
            <w:tcBorders>
              <w:top w:val="single" w:sz="4" w:space="0" w:color="auto"/>
              <w:bottom w:val="single" w:sz="4" w:space="0" w:color="auto"/>
              <w:right w:val="nil"/>
            </w:tcBorders>
          </w:tcPr>
          <w:p w14:paraId="6E25194A" w14:textId="77777777" w:rsidR="00A50049" w:rsidRPr="00A50049" w:rsidRDefault="00A50049" w:rsidP="00123D52">
            <w:pPr>
              <w:spacing w:line="360" w:lineRule="auto"/>
              <w:jc w:val="center"/>
              <w:rPr>
                <w:color w:val="171C24"/>
                <w:sz w:val="24"/>
                <w:szCs w:val="24"/>
                <w:shd w:val="clear" w:color="auto" w:fill="FFFFFF"/>
                <w:rtl/>
              </w:rPr>
            </w:pPr>
          </w:p>
        </w:tc>
        <w:tc>
          <w:tcPr>
            <w:tcW w:w="2000" w:type="dxa"/>
            <w:tcBorders>
              <w:left w:val="nil"/>
            </w:tcBorders>
            <w:vAlign w:val="center"/>
          </w:tcPr>
          <w:p w14:paraId="20482EB6" w14:textId="29DDBF5F" w:rsidR="00A50049" w:rsidRPr="00A50049" w:rsidRDefault="00A50049" w:rsidP="00123D52">
            <w:pPr>
              <w:spacing w:line="360" w:lineRule="auto"/>
              <w:jc w:val="center"/>
              <w:rPr>
                <w:color w:val="171C24"/>
                <w:sz w:val="24"/>
                <w:szCs w:val="24"/>
                <w:shd w:val="clear" w:color="auto" w:fill="FFFFFF"/>
              </w:rPr>
            </w:pPr>
            <w:r w:rsidRPr="003053CE">
              <w:rPr>
                <w:color w:val="171C24"/>
                <w:sz w:val="24"/>
                <w:szCs w:val="24"/>
                <w:shd w:val="clear" w:color="auto" w:fill="FFFFFF"/>
              </w:rPr>
              <w:t>2014;1supl (1): s706.</w:t>
            </w:r>
          </w:p>
        </w:tc>
      </w:tr>
    </w:tbl>
    <w:p w14:paraId="0A11FFE5" w14:textId="77777777" w:rsidR="00A50049" w:rsidRDefault="00A50049" w:rsidP="00123D52">
      <w:pPr>
        <w:spacing w:line="360" w:lineRule="auto"/>
        <w:rPr>
          <w:sz w:val="24"/>
          <w:szCs w:val="24"/>
          <w:highlight w:val="cyan"/>
          <w:rtl/>
        </w:rPr>
      </w:pPr>
    </w:p>
    <w:p w14:paraId="4076B80D" w14:textId="77777777" w:rsidR="00F5123F" w:rsidRDefault="00F5123F" w:rsidP="00123D52">
      <w:pPr>
        <w:spacing w:line="360" w:lineRule="auto"/>
        <w:rPr>
          <w:sz w:val="24"/>
          <w:szCs w:val="24"/>
          <w:highlight w:val="cyan"/>
          <w:rtl/>
        </w:rPr>
      </w:pPr>
    </w:p>
    <w:p w14:paraId="29AB7E96" w14:textId="77777777" w:rsidR="00F5123F" w:rsidRDefault="00F5123F" w:rsidP="00123D52">
      <w:pPr>
        <w:spacing w:line="360" w:lineRule="auto"/>
        <w:rPr>
          <w:sz w:val="24"/>
          <w:szCs w:val="24"/>
          <w:highlight w:val="cyan"/>
          <w:rtl/>
        </w:rPr>
      </w:pPr>
    </w:p>
    <w:p w14:paraId="078F4909" w14:textId="77777777" w:rsidR="00F5123F" w:rsidRDefault="00F5123F" w:rsidP="00123D52">
      <w:pPr>
        <w:spacing w:line="360" w:lineRule="auto"/>
        <w:rPr>
          <w:sz w:val="24"/>
          <w:szCs w:val="24"/>
          <w:highlight w:val="cyan"/>
        </w:rPr>
      </w:pPr>
    </w:p>
    <w:p w14:paraId="14A3304C" w14:textId="77777777" w:rsidR="00907D25" w:rsidRPr="00F5123F" w:rsidRDefault="00907D25" w:rsidP="00123D52">
      <w:pPr>
        <w:pStyle w:val="Heading4"/>
        <w:bidi w:val="0"/>
        <w:spacing w:line="360" w:lineRule="auto"/>
        <w:rPr>
          <w:rFonts w:cs="Times New Roman"/>
          <w:sz w:val="28"/>
          <w:szCs w:val="28"/>
        </w:rPr>
      </w:pPr>
      <w:r w:rsidRPr="00F5123F">
        <w:rPr>
          <w:rStyle w:val="Strong"/>
          <w:b w:val="0"/>
          <w:bCs w:val="0"/>
          <w:sz w:val="28"/>
          <w:szCs w:val="28"/>
        </w:rPr>
        <w:lastRenderedPageBreak/>
        <w:t>Conference Presentations:</w:t>
      </w:r>
    </w:p>
    <w:tbl>
      <w:tblPr>
        <w:tblStyle w:val="TableGrid"/>
        <w:tblW w:w="9355" w:type="dxa"/>
        <w:tblLook w:val="04A0" w:firstRow="1" w:lastRow="0" w:firstColumn="1" w:lastColumn="0" w:noHBand="0" w:noVBand="1"/>
      </w:tblPr>
      <w:tblGrid>
        <w:gridCol w:w="5452"/>
        <w:gridCol w:w="1304"/>
        <w:gridCol w:w="2599"/>
      </w:tblGrid>
      <w:tr w:rsidR="00907D25" w14:paraId="265697AF" w14:textId="21E70BFB" w:rsidTr="00F5123F">
        <w:trPr>
          <w:trHeight w:val="467"/>
        </w:trPr>
        <w:tc>
          <w:tcPr>
            <w:tcW w:w="5485" w:type="dxa"/>
            <w:shd w:val="clear" w:color="auto" w:fill="E5DFEC" w:themeFill="accent4" w:themeFillTint="33"/>
            <w:vAlign w:val="center"/>
          </w:tcPr>
          <w:p w14:paraId="642D3B90" w14:textId="6D8B743D" w:rsidR="00907D25" w:rsidRDefault="00907D25" w:rsidP="00123D52">
            <w:pPr>
              <w:spacing w:line="360" w:lineRule="auto"/>
              <w:jc w:val="center"/>
              <w:rPr>
                <w:sz w:val="24"/>
                <w:szCs w:val="24"/>
                <w:rtl/>
              </w:rPr>
            </w:pPr>
            <w:r>
              <w:rPr>
                <w:rStyle w:val="Strong"/>
              </w:rPr>
              <w:t>Title</w:t>
            </w:r>
          </w:p>
        </w:tc>
        <w:tc>
          <w:tcPr>
            <w:tcW w:w="1260" w:type="dxa"/>
            <w:shd w:val="clear" w:color="auto" w:fill="E5DFEC" w:themeFill="accent4" w:themeFillTint="33"/>
            <w:vAlign w:val="center"/>
          </w:tcPr>
          <w:p w14:paraId="3652ECE3" w14:textId="37537687" w:rsidR="00907D25" w:rsidRDefault="00907D25" w:rsidP="00123D52">
            <w:pPr>
              <w:spacing w:line="360" w:lineRule="auto"/>
              <w:jc w:val="center"/>
              <w:rPr>
                <w:sz w:val="24"/>
                <w:szCs w:val="24"/>
                <w:rtl/>
              </w:rPr>
            </w:pPr>
            <w:r>
              <w:rPr>
                <w:rStyle w:val="Strong"/>
              </w:rPr>
              <w:t>Type</w:t>
            </w:r>
          </w:p>
        </w:tc>
        <w:tc>
          <w:tcPr>
            <w:tcW w:w="2610" w:type="dxa"/>
            <w:shd w:val="clear" w:color="auto" w:fill="E5DFEC" w:themeFill="accent4" w:themeFillTint="33"/>
            <w:vAlign w:val="center"/>
          </w:tcPr>
          <w:p w14:paraId="37C36BC2" w14:textId="34BF0199" w:rsidR="00907D25" w:rsidRPr="00907D25" w:rsidRDefault="00907D25" w:rsidP="00123D52">
            <w:pPr>
              <w:widowControl/>
              <w:bidi w:val="0"/>
              <w:spacing w:line="360" w:lineRule="auto"/>
              <w:jc w:val="center"/>
              <w:rPr>
                <w:rFonts w:cs="Times New Roman"/>
                <w:rtl/>
              </w:rPr>
            </w:pPr>
            <w:r>
              <w:rPr>
                <w:rStyle w:val="Strong"/>
              </w:rPr>
              <w:t>Details</w:t>
            </w:r>
          </w:p>
        </w:tc>
      </w:tr>
      <w:tr w:rsidR="00907D25" w14:paraId="1DE0388A" w14:textId="5F09C791" w:rsidTr="00F5123F">
        <w:trPr>
          <w:trHeight w:val="528"/>
        </w:trPr>
        <w:tc>
          <w:tcPr>
            <w:tcW w:w="5485" w:type="dxa"/>
          </w:tcPr>
          <w:p w14:paraId="7250CFF1" w14:textId="77777777" w:rsidR="00907D25" w:rsidRPr="00DA6027" w:rsidRDefault="00907D25" w:rsidP="00123D52">
            <w:pPr>
              <w:bidi w:val="0"/>
              <w:spacing w:line="360" w:lineRule="auto"/>
              <w:rPr>
                <w:rFonts w:cs="Tahoma"/>
                <w:sz w:val="24"/>
                <w:szCs w:val="24"/>
              </w:rPr>
            </w:pPr>
            <w:r w:rsidRPr="00BD383D">
              <w:rPr>
                <w:rFonts w:cs="Tahoma"/>
                <w:sz w:val="24"/>
                <w:szCs w:val="24"/>
              </w:rPr>
              <w:t xml:space="preserve">Studying the effect of combined nanoparticle, </w:t>
            </w:r>
            <w:proofErr w:type="spellStart"/>
            <w:r w:rsidRPr="00BD383D">
              <w:rPr>
                <w:rFonts w:cs="Tahoma"/>
                <w:sz w:val="24"/>
                <w:szCs w:val="24"/>
              </w:rPr>
              <w:t>chemodrug</w:t>
            </w:r>
            <w:proofErr w:type="spellEnd"/>
            <w:r w:rsidRPr="00BD383D">
              <w:rPr>
                <w:rFonts w:cs="Tahoma"/>
                <w:sz w:val="24"/>
                <w:szCs w:val="24"/>
              </w:rPr>
              <w:t xml:space="preserve"> and radiation therapy in targeted treatment of breast cancer</w:t>
            </w:r>
          </w:p>
        </w:tc>
        <w:tc>
          <w:tcPr>
            <w:tcW w:w="1260" w:type="dxa"/>
          </w:tcPr>
          <w:p w14:paraId="59723468" w14:textId="77777777" w:rsidR="00907D25" w:rsidRDefault="00907D25" w:rsidP="00123D52">
            <w:pPr>
              <w:widowControl/>
              <w:bidi w:val="0"/>
              <w:spacing w:line="360" w:lineRule="auto"/>
              <w:jc w:val="center"/>
              <w:rPr>
                <w:rFonts w:cs="Times New Roman"/>
              </w:rPr>
            </w:pPr>
            <w:r>
              <w:t>Oral Presentation</w:t>
            </w:r>
          </w:p>
          <w:p w14:paraId="21463807" w14:textId="172F5D07" w:rsidR="00907D25" w:rsidRDefault="00907D25" w:rsidP="00123D52">
            <w:pPr>
              <w:spacing w:line="360" w:lineRule="auto"/>
              <w:jc w:val="center"/>
              <w:rPr>
                <w:sz w:val="24"/>
                <w:szCs w:val="24"/>
                <w:rtl/>
              </w:rPr>
            </w:pPr>
          </w:p>
        </w:tc>
        <w:tc>
          <w:tcPr>
            <w:tcW w:w="2610" w:type="dxa"/>
          </w:tcPr>
          <w:p w14:paraId="1539FA91" w14:textId="7CD606EC" w:rsidR="00907D25" w:rsidRPr="00F5123F" w:rsidRDefault="00907D25" w:rsidP="00F5123F">
            <w:pPr>
              <w:widowControl/>
              <w:bidi w:val="0"/>
              <w:spacing w:line="360" w:lineRule="auto"/>
              <w:jc w:val="center"/>
              <w:rPr>
                <w:rFonts w:cs="Times New Roman"/>
              </w:rPr>
            </w:pPr>
            <w:r>
              <w:t>10th International Congress on Women’s Diseases and Obstetrics of Iran (2013).</w:t>
            </w:r>
          </w:p>
        </w:tc>
      </w:tr>
      <w:tr w:rsidR="00907D25" w14:paraId="65BF0BEC" w14:textId="6C4E4DF0" w:rsidTr="00F5123F">
        <w:trPr>
          <w:trHeight w:val="590"/>
        </w:trPr>
        <w:tc>
          <w:tcPr>
            <w:tcW w:w="5485" w:type="dxa"/>
          </w:tcPr>
          <w:p w14:paraId="349D9E59" w14:textId="60B78E2C" w:rsidR="00907D25" w:rsidRPr="00F5123F" w:rsidRDefault="00907D25" w:rsidP="00F5123F">
            <w:pPr>
              <w:widowControl/>
              <w:bidi w:val="0"/>
              <w:spacing w:line="360" w:lineRule="auto"/>
              <w:rPr>
                <w:rFonts w:cs="Times New Roman"/>
              </w:rPr>
            </w:pPr>
            <w:r>
              <w:t>Enhancing Radiotherapy Efficiency Using Combined Hydroxyapatite Nanoparticles and Drugs (Doxorubicin and 2-Deoxy-D-Glucose)</w:t>
            </w:r>
          </w:p>
        </w:tc>
        <w:tc>
          <w:tcPr>
            <w:tcW w:w="1260" w:type="dxa"/>
          </w:tcPr>
          <w:p w14:paraId="119D8B2A" w14:textId="77777777" w:rsidR="00907D25" w:rsidRDefault="00907D25" w:rsidP="00123D52">
            <w:pPr>
              <w:widowControl/>
              <w:bidi w:val="0"/>
              <w:spacing w:line="360" w:lineRule="auto"/>
              <w:jc w:val="center"/>
              <w:rPr>
                <w:rFonts w:cs="Times New Roman"/>
              </w:rPr>
            </w:pPr>
            <w:r>
              <w:t>Oral Presentation</w:t>
            </w:r>
          </w:p>
          <w:p w14:paraId="1DD093B3" w14:textId="7B45B606" w:rsidR="00907D25" w:rsidRDefault="00907D25" w:rsidP="00123D52">
            <w:pPr>
              <w:spacing w:line="360" w:lineRule="auto"/>
              <w:jc w:val="center"/>
              <w:rPr>
                <w:sz w:val="24"/>
                <w:szCs w:val="24"/>
                <w:rtl/>
              </w:rPr>
            </w:pPr>
          </w:p>
        </w:tc>
        <w:tc>
          <w:tcPr>
            <w:tcW w:w="2610" w:type="dxa"/>
          </w:tcPr>
          <w:p w14:paraId="1310D20C" w14:textId="6AA540E5" w:rsidR="00907D25" w:rsidRPr="00F5123F" w:rsidRDefault="00907D25" w:rsidP="00F5123F">
            <w:pPr>
              <w:widowControl/>
              <w:bidi w:val="0"/>
              <w:spacing w:line="360" w:lineRule="auto"/>
              <w:jc w:val="center"/>
              <w:rPr>
                <w:rFonts w:cs="Times New Roman"/>
              </w:rPr>
            </w:pPr>
            <w:r>
              <w:t>11th Iranian Medical Physics Conference (2014).</w:t>
            </w:r>
          </w:p>
        </w:tc>
      </w:tr>
      <w:tr w:rsidR="00907D25" w14:paraId="34AB1756" w14:textId="0756D288" w:rsidTr="00F5123F">
        <w:trPr>
          <w:trHeight w:val="590"/>
        </w:trPr>
        <w:tc>
          <w:tcPr>
            <w:tcW w:w="5485" w:type="dxa"/>
          </w:tcPr>
          <w:p w14:paraId="4A0033C5" w14:textId="77777777" w:rsidR="00907D25" w:rsidRPr="00BD383D" w:rsidRDefault="00907D25" w:rsidP="00123D52">
            <w:pPr>
              <w:bidi w:val="0"/>
              <w:spacing w:line="360" w:lineRule="auto"/>
              <w:rPr>
                <w:sz w:val="24"/>
                <w:szCs w:val="24"/>
              </w:rPr>
            </w:pPr>
            <w:r w:rsidRPr="00BD383D">
              <w:rPr>
                <w:sz w:val="24"/>
                <w:szCs w:val="24"/>
              </w:rPr>
              <w:t xml:space="preserve">Combined therapy by nanoparticle, </w:t>
            </w:r>
            <w:proofErr w:type="spellStart"/>
            <w:r w:rsidRPr="00BD383D">
              <w:rPr>
                <w:sz w:val="24"/>
                <w:szCs w:val="24"/>
              </w:rPr>
              <w:t>chemodrug</w:t>
            </w:r>
            <w:proofErr w:type="spellEnd"/>
            <w:r w:rsidRPr="00BD383D">
              <w:rPr>
                <w:sz w:val="24"/>
                <w:szCs w:val="24"/>
              </w:rPr>
              <w:t xml:space="preserve"> and radiation therapy in the treatment of breast cancer</w:t>
            </w:r>
          </w:p>
          <w:p w14:paraId="04CED986" w14:textId="77777777" w:rsidR="00907D25" w:rsidRPr="00DA6027" w:rsidRDefault="00907D25" w:rsidP="00123D52">
            <w:pPr>
              <w:bidi w:val="0"/>
              <w:spacing w:line="360" w:lineRule="auto"/>
              <w:rPr>
                <w:sz w:val="24"/>
                <w:szCs w:val="24"/>
              </w:rPr>
            </w:pPr>
          </w:p>
        </w:tc>
        <w:tc>
          <w:tcPr>
            <w:tcW w:w="1260" w:type="dxa"/>
          </w:tcPr>
          <w:p w14:paraId="42079AFA" w14:textId="77777777" w:rsidR="00907D25" w:rsidRDefault="00907D25" w:rsidP="00123D52">
            <w:pPr>
              <w:widowControl/>
              <w:bidi w:val="0"/>
              <w:spacing w:line="360" w:lineRule="auto"/>
              <w:jc w:val="center"/>
              <w:rPr>
                <w:rFonts w:cs="Times New Roman"/>
              </w:rPr>
            </w:pPr>
            <w:r>
              <w:t>Poster</w:t>
            </w:r>
          </w:p>
          <w:p w14:paraId="0E7B8BB3" w14:textId="67380C10" w:rsidR="00907D25" w:rsidRDefault="00907D25" w:rsidP="00123D52">
            <w:pPr>
              <w:spacing w:line="360" w:lineRule="auto"/>
              <w:jc w:val="center"/>
              <w:rPr>
                <w:sz w:val="24"/>
                <w:szCs w:val="24"/>
                <w:rtl/>
              </w:rPr>
            </w:pPr>
          </w:p>
        </w:tc>
        <w:tc>
          <w:tcPr>
            <w:tcW w:w="2610" w:type="dxa"/>
          </w:tcPr>
          <w:p w14:paraId="28D7596A" w14:textId="5AC48290" w:rsidR="00907D25" w:rsidRPr="00F5123F" w:rsidRDefault="00907D25" w:rsidP="00F5123F">
            <w:pPr>
              <w:widowControl/>
              <w:bidi w:val="0"/>
              <w:spacing w:line="360" w:lineRule="auto"/>
              <w:jc w:val="center"/>
              <w:rPr>
                <w:rFonts w:cs="Times New Roman"/>
              </w:rPr>
            </w:pPr>
            <w:r>
              <w:t>12th National Medical Oncology and Hematology Congress of Iran (2014).</w:t>
            </w:r>
          </w:p>
        </w:tc>
      </w:tr>
      <w:tr w:rsidR="00907D25" w14:paraId="057AFD2B" w14:textId="688DFF36" w:rsidTr="00F5123F">
        <w:trPr>
          <w:trHeight w:val="590"/>
        </w:trPr>
        <w:tc>
          <w:tcPr>
            <w:tcW w:w="5485" w:type="dxa"/>
          </w:tcPr>
          <w:p w14:paraId="2016AF61" w14:textId="3FD1B1F8" w:rsidR="00907D25" w:rsidRPr="00F5123F" w:rsidRDefault="00907D25" w:rsidP="00F5123F">
            <w:pPr>
              <w:bidi w:val="0"/>
              <w:spacing w:line="360" w:lineRule="auto"/>
              <w:rPr>
                <w:rFonts w:cs="Tahoma"/>
              </w:rPr>
            </w:pPr>
            <w:r w:rsidRPr="00703BBC">
              <w:rPr>
                <w:rFonts w:cs="Tahoma"/>
              </w:rPr>
              <w:t>A Novel therapeutic approach for breast cancer: Nanoparticle coated with 2-Deoxy-D-Glucose and Doxorubicin</w:t>
            </w:r>
          </w:p>
        </w:tc>
        <w:tc>
          <w:tcPr>
            <w:tcW w:w="1260" w:type="dxa"/>
          </w:tcPr>
          <w:p w14:paraId="24885676" w14:textId="77777777" w:rsidR="00907D25" w:rsidRDefault="00907D25" w:rsidP="00123D52">
            <w:pPr>
              <w:widowControl/>
              <w:bidi w:val="0"/>
              <w:spacing w:line="360" w:lineRule="auto"/>
              <w:jc w:val="center"/>
              <w:rPr>
                <w:rFonts w:cs="Times New Roman"/>
              </w:rPr>
            </w:pPr>
            <w:r>
              <w:t>Poster</w:t>
            </w:r>
          </w:p>
          <w:p w14:paraId="2152EDD6" w14:textId="1E186ACD" w:rsidR="00907D25" w:rsidRDefault="00907D25" w:rsidP="00123D52">
            <w:pPr>
              <w:spacing w:line="360" w:lineRule="auto"/>
              <w:jc w:val="center"/>
              <w:rPr>
                <w:sz w:val="24"/>
                <w:szCs w:val="24"/>
                <w:rtl/>
              </w:rPr>
            </w:pPr>
          </w:p>
        </w:tc>
        <w:tc>
          <w:tcPr>
            <w:tcW w:w="2610" w:type="dxa"/>
          </w:tcPr>
          <w:p w14:paraId="2A84B44D" w14:textId="44570E18" w:rsidR="00907D25" w:rsidRPr="00F5123F" w:rsidRDefault="00907D25" w:rsidP="00F5123F">
            <w:pPr>
              <w:widowControl/>
              <w:bidi w:val="0"/>
              <w:spacing w:line="360" w:lineRule="auto"/>
              <w:jc w:val="center"/>
              <w:rPr>
                <w:rFonts w:cs="Times New Roman"/>
              </w:rPr>
            </w:pPr>
            <w:r>
              <w:t>12th International Immunology and Allergy Congress of Iran (2013)</w:t>
            </w:r>
            <w:r w:rsidR="00F5123F">
              <w:rPr>
                <w:rFonts w:hint="cs"/>
                <w:rtl/>
              </w:rPr>
              <w:t>.</w:t>
            </w:r>
          </w:p>
        </w:tc>
      </w:tr>
      <w:tr w:rsidR="00907D25" w14:paraId="29822216" w14:textId="4005C736" w:rsidTr="00F5123F">
        <w:trPr>
          <w:trHeight w:val="590"/>
        </w:trPr>
        <w:tc>
          <w:tcPr>
            <w:tcW w:w="5485" w:type="dxa"/>
          </w:tcPr>
          <w:p w14:paraId="37C9A4C3" w14:textId="77777777" w:rsidR="00907D25" w:rsidRPr="0065687A" w:rsidRDefault="00907D25" w:rsidP="00123D52">
            <w:pPr>
              <w:spacing w:line="360" w:lineRule="auto"/>
              <w:jc w:val="right"/>
              <w:rPr>
                <w:rFonts w:cs="Tahoma"/>
              </w:rPr>
            </w:pPr>
            <w:r w:rsidRPr="0065687A">
              <w:rPr>
                <w:rFonts w:cs="Tahoma"/>
              </w:rPr>
              <w:t>The In-Vitro Role of Radiofrequency Hyperthermia on Cell Cycle and Propose a Time Interval for Radiotherapy</w:t>
            </w:r>
          </w:p>
          <w:p w14:paraId="795CD59F" w14:textId="77777777" w:rsidR="00907D25" w:rsidRPr="00703BBC" w:rsidRDefault="00907D25" w:rsidP="00123D52">
            <w:pPr>
              <w:bidi w:val="0"/>
              <w:spacing w:line="360" w:lineRule="auto"/>
              <w:rPr>
                <w:rFonts w:cs="Tahoma"/>
              </w:rPr>
            </w:pPr>
          </w:p>
        </w:tc>
        <w:tc>
          <w:tcPr>
            <w:tcW w:w="1260" w:type="dxa"/>
          </w:tcPr>
          <w:p w14:paraId="1EAACC23" w14:textId="77777777" w:rsidR="00907D25" w:rsidRDefault="00907D25" w:rsidP="00123D52">
            <w:pPr>
              <w:widowControl/>
              <w:bidi w:val="0"/>
              <w:spacing w:line="360" w:lineRule="auto"/>
              <w:jc w:val="center"/>
              <w:rPr>
                <w:rFonts w:cs="Times New Roman"/>
              </w:rPr>
            </w:pPr>
            <w:r>
              <w:t>Poster</w:t>
            </w:r>
          </w:p>
          <w:p w14:paraId="797C1D6F" w14:textId="76398DBF" w:rsidR="00907D25" w:rsidRDefault="00907D25" w:rsidP="00123D52">
            <w:pPr>
              <w:spacing w:line="360" w:lineRule="auto"/>
              <w:jc w:val="center"/>
              <w:rPr>
                <w:sz w:val="24"/>
                <w:szCs w:val="24"/>
                <w:rtl/>
              </w:rPr>
            </w:pPr>
          </w:p>
        </w:tc>
        <w:tc>
          <w:tcPr>
            <w:tcW w:w="2610" w:type="dxa"/>
          </w:tcPr>
          <w:p w14:paraId="38B84945" w14:textId="6864AA9A" w:rsidR="00907D25" w:rsidRDefault="00907D25" w:rsidP="00F5123F">
            <w:pPr>
              <w:widowControl/>
              <w:bidi w:val="0"/>
              <w:spacing w:line="360" w:lineRule="auto"/>
              <w:jc w:val="center"/>
            </w:pPr>
            <w:r>
              <w:t>21st Asia-Oceania Congress of Medical Physics (AOCMP-2021), Dhaka, Bangladesh (2021).</w:t>
            </w:r>
          </w:p>
        </w:tc>
      </w:tr>
    </w:tbl>
    <w:p w14:paraId="74832795" w14:textId="77777777" w:rsidR="00907D25" w:rsidRDefault="00907D25" w:rsidP="00123D52">
      <w:pPr>
        <w:spacing w:line="360" w:lineRule="auto"/>
        <w:rPr>
          <w:rFonts w:ascii="Calibri" w:hAnsi="Calibri" w:cs="Calibri"/>
          <w:sz w:val="24"/>
          <w:szCs w:val="24"/>
          <w:rtl/>
        </w:rPr>
      </w:pPr>
    </w:p>
    <w:p w14:paraId="27C78201" w14:textId="77777777" w:rsidR="00F5123F" w:rsidRDefault="00F5123F" w:rsidP="00123D52">
      <w:pPr>
        <w:spacing w:line="360" w:lineRule="auto"/>
        <w:rPr>
          <w:rFonts w:ascii="Calibri" w:hAnsi="Calibri" w:cs="Calibri"/>
          <w:sz w:val="24"/>
          <w:szCs w:val="24"/>
          <w:rtl/>
        </w:rPr>
      </w:pPr>
    </w:p>
    <w:p w14:paraId="61195250" w14:textId="77777777" w:rsidR="00F5123F" w:rsidRDefault="00F5123F" w:rsidP="00123D52">
      <w:pPr>
        <w:spacing w:line="360" w:lineRule="auto"/>
        <w:rPr>
          <w:rFonts w:ascii="Calibri" w:hAnsi="Calibri" w:cs="Calibri"/>
          <w:sz w:val="24"/>
          <w:szCs w:val="24"/>
          <w:rtl/>
        </w:rPr>
      </w:pPr>
    </w:p>
    <w:p w14:paraId="3FFCE8BC" w14:textId="77777777" w:rsidR="00F5123F" w:rsidRDefault="00F5123F" w:rsidP="00123D52">
      <w:pPr>
        <w:spacing w:line="360" w:lineRule="auto"/>
        <w:rPr>
          <w:rFonts w:ascii="Calibri" w:hAnsi="Calibri" w:cs="Calibri"/>
          <w:sz w:val="24"/>
          <w:szCs w:val="24"/>
          <w:rtl/>
        </w:rPr>
      </w:pPr>
    </w:p>
    <w:p w14:paraId="1E6972DC" w14:textId="77777777" w:rsidR="00F5123F" w:rsidRDefault="00F5123F" w:rsidP="00123D52">
      <w:pPr>
        <w:spacing w:line="360" w:lineRule="auto"/>
        <w:rPr>
          <w:rFonts w:ascii="Calibri" w:hAnsi="Calibri" w:cs="Calibri"/>
          <w:sz w:val="24"/>
          <w:szCs w:val="24"/>
          <w:rtl/>
        </w:rPr>
      </w:pPr>
    </w:p>
    <w:p w14:paraId="0E7368E8" w14:textId="77777777" w:rsidR="00F5123F" w:rsidRDefault="00F5123F" w:rsidP="00123D52">
      <w:pPr>
        <w:spacing w:line="360" w:lineRule="auto"/>
        <w:rPr>
          <w:rFonts w:ascii="Calibri" w:hAnsi="Calibri" w:cs="Calibri"/>
          <w:sz w:val="24"/>
          <w:szCs w:val="24"/>
          <w:rtl/>
        </w:rPr>
      </w:pPr>
    </w:p>
    <w:p w14:paraId="2A267648" w14:textId="77777777" w:rsidR="00F5123F" w:rsidRDefault="00F5123F" w:rsidP="00123D52">
      <w:pPr>
        <w:spacing w:line="360" w:lineRule="auto"/>
        <w:rPr>
          <w:rFonts w:ascii="Calibri" w:hAnsi="Calibri" w:cs="Calibri"/>
          <w:sz w:val="24"/>
          <w:szCs w:val="24"/>
        </w:rPr>
      </w:pPr>
    </w:p>
    <w:p w14:paraId="1A53F4C2" w14:textId="77777777" w:rsidR="00907D25" w:rsidRDefault="00907D25" w:rsidP="00123D52">
      <w:pPr>
        <w:pStyle w:val="Heading3"/>
        <w:bidi w:val="0"/>
        <w:spacing w:line="360" w:lineRule="auto"/>
        <w:rPr>
          <w:rFonts w:cs="Times New Roman"/>
        </w:rPr>
      </w:pPr>
      <w:r>
        <w:rPr>
          <w:rStyle w:val="Strong"/>
          <w:b w:val="0"/>
          <w:bCs w:val="0"/>
        </w:rPr>
        <w:lastRenderedPageBreak/>
        <w:t>C) Professional Experience</w:t>
      </w:r>
    </w:p>
    <w:p w14:paraId="5558A2A5" w14:textId="097DB05C" w:rsidR="00123D52" w:rsidRPr="00123264" w:rsidRDefault="00123D52" w:rsidP="00123D52">
      <w:pPr>
        <w:pStyle w:val="NormalWeb"/>
        <w:numPr>
          <w:ilvl w:val="0"/>
          <w:numId w:val="9"/>
        </w:numPr>
        <w:spacing w:line="360" w:lineRule="auto"/>
      </w:pPr>
      <w:r w:rsidRPr="00123264">
        <w:t>Taught Medical Physics courses at various academic levels, including undergraduate (B.Sc.), master’s (M.Sc.), and general doctoral programs (M.D./D.D.S./Pharm.D.).</w:t>
      </w:r>
    </w:p>
    <w:p w14:paraId="6364DC60" w14:textId="6C92C33B" w:rsidR="00907D25" w:rsidRPr="00123264" w:rsidRDefault="00907D25" w:rsidP="00123D52">
      <w:pPr>
        <w:pStyle w:val="NormalWeb"/>
        <w:numPr>
          <w:ilvl w:val="0"/>
          <w:numId w:val="9"/>
        </w:numPr>
        <w:spacing w:line="360" w:lineRule="auto"/>
      </w:pPr>
      <w:r w:rsidRPr="00123264">
        <w:t>Board member of the Iranian Association of Medical Physicist (2024).</w:t>
      </w:r>
    </w:p>
    <w:p w14:paraId="2F673527" w14:textId="7E20851A" w:rsidR="00907D25" w:rsidRDefault="00907D25" w:rsidP="00123D52">
      <w:pPr>
        <w:pStyle w:val="NormalWeb"/>
        <w:numPr>
          <w:ilvl w:val="0"/>
          <w:numId w:val="9"/>
        </w:numPr>
        <w:spacing w:line="360" w:lineRule="auto"/>
      </w:pPr>
      <w:r w:rsidRPr="00123264">
        <w:t xml:space="preserve">Active member of the Student Association </w:t>
      </w:r>
      <w:r w:rsidR="00123264" w:rsidRPr="00123264">
        <w:t xml:space="preserve">Medical Physics </w:t>
      </w:r>
      <w:r w:rsidRPr="00123264">
        <w:t>at Tarbiat Modares University</w:t>
      </w:r>
      <w:r>
        <w:t xml:space="preserve"> (2018 - Present).</w:t>
      </w:r>
    </w:p>
    <w:p w14:paraId="256EF0B0" w14:textId="086F0AEE" w:rsidR="00907D25" w:rsidRDefault="00907D25" w:rsidP="00123D52">
      <w:pPr>
        <w:pStyle w:val="NormalWeb"/>
        <w:numPr>
          <w:ilvl w:val="0"/>
          <w:numId w:val="9"/>
        </w:numPr>
        <w:spacing w:line="360" w:lineRule="auto"/>
      </w:pPr>
      <w:r>
        <w:t xml:space="preserve">Member of the </w:t>
      </w:r>
      <w:r w:rsidR="00123D52" w:rsidRPr="00123D52">
        <w:t>Drug Applied Research Center</w:t>
      </w:r>
      <w:r>
        <w:t>, Tabriz (2012-2014).</w:t>
      </w:r>
    </w:p>
    <w:p w14:paraId="2C144969" w14:textId="654211C1" w:rsidR="00907D25" w:rsidRDefault="00907D25" w:rsidP="00123D52">
      <w:pPr>
        <w:pStyle w:val="NormalWeb"/>
        <w:numPr>
          <w:ilvl w:val="0"/>
          <w:numId w:val="9"/>
        </w:numPr>
        <w:spacing w:line="360" w:lineRule="auto"/>
      </w:pPr>
      <w:r>
        <w:t xml:space="preserve">Active member of the </w:t>
      </w:r>
      <w:r w:rsidR="00123D52">
        <w:t xml:space="preserve">Iranian Association of Medical Physicist </w:t>
      </w:r>
      <w:r>
        <w:t>(2016 - Present).</w:t>
      </w:r>
    </w:p>
    <w:p w14:paraId="215100D6" w14:textId="034B8B63" w:rsidR="00907D25" w:rsidRDefault="00907D25" w:rsidP="00123D52">
      <w:pPr>
        <w:pStyle w:val="NormalWeb"/>
        <w:numPr>
          <w:ilvl w:val="0"/>
          <w:numId w:val="9"/>
        </w:numPr>
        <w:spacing w:line="360" w:lineRule="auto"/>
      </w:pPr>
      <w:r>
        <w:t xml:space="preserve">Completed internships in radiotherapy departments (e.g., Hamadan, </w:t>
      </w:r>
      <w:r w:rsidR="00123D52">
        <w:t>Tajrish Cancer Center</w:t>
      </w:r>
      <w:r>
        <w:t xml:space="preserve">, </w:t>
      </w:r>
      <w:r w:rsidR="00123D52" w:rsidRPr="00123D52">
        <w:t xml:space="preserve">Radiation </w:t>
      </w:r>
      <w:r w:rsidR="00123264">
        <w:t>O</w:t>
      </w:r>
      <w:r w:rsidR="00123D52" w:rsidRPr="00123D52">
        <w:t xml:space="preserve">ncology </w:t>
      </w:r>
      <w:r w:rsidR="00123264">
        <w:t>O</w:t>
      </w:r>
      <w:r w:rsidR="00123D52" w:rsidRPr="00123D52">
        <w:t>mid clinic</w:t>
      </w:r>
      <w:r>
        <w:t>, and Pars Hospital in Tehran), gaining experience in treatment planning, dosimetry, contouring, CT simulation, and patient positioning.</w:t>
      </w:r>
    </w:p>
    <w:p w14:paraId="3B99D45B" w14:textId="77777777" w:rsidR="00907D25" w:rsidRDefault="00907D25" w:rsidP="00123D52">
      <w:pPr>
        <w:pStyle w:val="NormalWeb"/>
        <w:numPr>
          <w:ilvl w:val="0"/>
          <w:numId w:val="9"/>
        </w:numPr>
        <w:spacing w:line="360" w:lineRule="auto"/>
      </w:pPr>
      <w:r>
        <w:t>Proficient in cell culture techniques and experimental procedures in research laboratories.</w:t>
      </w:r>
    </w:p>
    <w:p w14:paraId="17746CE5" w14:textId="77777777" w:rsidR="00907D25" w:rsidRDefault="00907D25" w:rsidP="00123D52">
      <w:pPr>
        <w:pStyle w:val="NormalWeb"/>
        <w:numPr>
          <w:ilvl w:val="0"/>
          <w:numId w:val="9"/>
        </w:numPr>
        <w:spacing w:line="360" w:lineRule="auto"/>
      </w:pPr>
      <w:r>
        <w:t>Skilled in handling laboratory animals, including injections, preparation for imaging, and therapeutic protocols.</w:t>
      </w:r>
    </w:p>
    <w:p w14:paraId="68824BC1" w14:textId="77777777" w:rsidR="00907D25" w:rsidRDefault="00907D25" w:rsidP="00123D52">
      <w:pPr>
        <w:pStyle w:val="NormalWeb"/>
        <w:numPr>
          <w:ilvl w:val="0"/>
          <w:numId w:val="9"/>
        </w:numPr>
        <w:spacing w:line="360" w:lineRule="auto"/>
      </w:pPr>
      <w:r>
        <w:t>Expertise in MTT assay, colony assay, gene expression analysis (Real-Time PCR), spectroscopy, ELISA, nanoparticle synthesis, flow cytometry, RNA extraction, and related techniques.</w:t>
      </w:r>
    </w:p>
    <w:p w14:paraId="69A11EA7" w14:textId="77777777" w:rsidR="00907D25" w:rsidRDefault="00907D25" w:rsidP="00123D52">
      <w:pPr>
        <w:pStyle w:val="NormalWeb"/>
        <w:numPr>
          <w:ilvl w:val="0"/>
          <w:numId w:val="9"/>
        </w:numPr>
        <w:spacing w:line="360" w:lineRule="auto"/>
      </w:pPr>
      <w:r>
        <w:t>Laboratory Expert in the Cell Culture Laboratory, Department of Medical Physics, Tarbiat Modares University (2019-2022).</w:t>
      </w:r>
    </w:p>
    <w:p w14:paraId="6521C9F4" w14:textId="77777777" w:rsidR="00907D25" w:rsidRDefault="00907D25" w:rsidP="00123D52">
      <w:pPr>
        <w:pStyle w:val="NormalWeb"/>
        <w:numPr>
          <w:ilvl w:val="0"/>
          <w:numId w:val="9"/>
        </w:numPr>
        <w:spacing w:line="360" w:lineRule="auto"/>
      </w:pPr>
      <w:r>
        <w:t>Trainer in cell culture, MTT assay, Real-Time PCR, flow cytometry, gold nanoparticle synthesis for cellular applications, hyperthermia calculations, radiotherapy setups, and radiobiological studies for students.</w:t>
      </w:r>
    </w:p>
    <w:p w14:paraId="5C4D74F3" w14:textId="77777777" w:rsidR="00907D25" w:rsidRDefault="00907D25" w:rsidP="00123D52">
      <w:pPr>
        <w:pStyle w:val="NormalWeb"/>
        <w:numPr>
          <w:ilvl w:val="0"/>
          <w:numId w:val="9"/>
        </w:numPr>
        <w:spacing w:line="360" w:lineRule="auto"/>
      </w:pPr>
      <w:r>
        <w:t>Student representative in the Internal Evaluation Committee for Medical Physics at Tarbiat Modares University (2019-2022).</w:t>
      </w:r>
    </w:p>
    <w:p w14:paraId="238B1EEB" w14:textId="77777777" w:rsidR="00123D52" w:rsidRDefault="00123D52" w:rsidP="00123D52">
      <w:pPr>
        <w:spacing w:line="360" w:lineRule="auto"/>
        <w:rPr>
          <w:sz w:val="24"/>
          <w:szCs w:val="24"/>
          <w:highlight w:val="cyan"/>
          <w:rtl/>
        </w:rPr>
      </w:pPr>
    </w:p>
    <w:p w14:paraId="79C24288" w14:textId="77777777" w:rsidR="00F5123F" w:rsidRDefault="00F5123F" w:rsidP="00123D52">
      <w:pPr>
        <w:spacing w:line="360" w:lineRule="auto"/>
        <w:rPr>
          <w:sz w:val="24"/>
          <w:szCs w:val="24"/>
          <w:highlight w:val="cyan"/>
        </w:rPr>
      </w:pPr>
    </w:p>
    <w:p w14:paraId="47851390" w14:textId="77777777" w:rsidR="00123D52" w:rsidRPr="00123264" w:rsidRDefault="00123D52" w:rsidP="00123D52">
      <w:pPr>
        <w:pStyle w:val="Heading3"/>
        <w:bidi w:val="0"/>
        <w:spacing w:line="360" w:lineRule="auto"/>
        <w:rPr>
          <w:rFonts w:cs="Times New Roman"/>
          <w:sz w:val="28"/>
          <w:szCs w:val="28"/>
        </w:rPr>
      </w:pPr>
      <w:r w:rsidRPr="00123264">
        <w:rPr>
          <w:rStyle w:val="Strong"/>
          <w:b w:val="0"/>
          <w:bCs w:val="0"/>
          <w:sz w:val="28"/>
          <w:szCs w:val="28"/>
        </w:rPr>
        <w:lastRenderedPageBreak/>
        <w:t>Workshops and Training</w:t>
      </w:r>
    </w:p>
    <w:p w14:paraId="574C626A" w14:textId="77777777" w:rsidR="00123D52" w:rsidRDefault="00123D52" w:rsidP="00123D52">
      <w:pPr>
        <w:pStyle w:val="NormalWeb"/>
        <w:numPr>
          <w:ilvl w:val="0"/>
          <w:numId w:val="10"/>
        </w:numPr>
        <w:spacing w:line="360" w:lineRule="auto"/>
      </w:pPr>
      <w:r>
        <w:t>Imaging Basics Workshop - Preclinical Laboratory, Tehran University of Medical Sciences (2018).</w:t>
      </w:r>
    </w:p>
    <w:p w14:paraId="286853F3" w14:textId="77777777" w:rsidR="00123D52" w:rsidRDefault="00123D52" w:rsidP="00123D52">
      <w:pPr>
        <w:pStyle w:val="NormalWeb"/>
        <w:numPr>
          <w:ilvl w:val="0"/>
          <w:numId w:val="10"/>
        </w:numPr>
        <w:spacing w:line="360" w:lineRule="auto"/>
      </w:pPr>
      <w:r>
        <w:t>Radiotherapy Treatment Design Workshop for Brain Tumors - Tarbiat Modares University (2023).</w:t>
      </w:r>
    </w:p>
    <w:p w14:paraId="45696A24" w14:textId="77777777" w:rsidR="00123D52" w:rsidRDefault="00123D52" w:rsidP="00123D52">
      <w:pPr>
        <w:pStyle w:val="NormalWeb"/>
        <w:numPr>
          <w:ilvl w:val="0"/>
          <w:numId w:val="10"/>
        </w:numPr>
        <w:spacing w:line="360" w:lineRule="auto"/>
      </w:pPr>
      <w:r>
        <w:t>Webinar on Radiology Procedures and Indications - Lorestan University of Medical Sciences (2020).</w:t>
      </w:r>
    </w:p>
    <w:p w14:paraId="7819D140" w14:textId="77777777" w:rsidR="00123D52" w:rsidRDefault="00123D52" w:rsidP="00123D52">
      <w:pPr>
        <w:pStyle w:val="NormalWeb"/>
        <w:numPr>
          <w:ilvl w:val="0"/>
          <w:numId w:val="10"/>
        </w:numPr>
        <w:spacing w:line="360" w:lineRule="auto"/>
      </w:pPr>
      <w:r>
        <w:t>Advances in Preclinical Imaging - Preclinical Laboratory, Tehran University of Medical Sciences (2018).</w:t>
      </w:r>
    </w:p>
    <w:p w14:paraId="117D6CDA" w14:textId="77777777" w:rsidR="00123D52" w:rsidRDefault="00123D52" w:rsidP="00123D52">
      <w:pPr>
        <w:pStyle w:val="NormalWeb"/>
        <w:numPr>
          <w:ilvl w:val="0"/>
          <w:numId w:val="10"/>
        </w:numPr>
        <w:spacing w:line="360" w:lineRule="auto"/>
      </w:pPr>
      <w:r>
        <w:t xml:space="preserve">Practical Workshops on Laboratory Animal Handling, Stem Cell Culturing, FTIR-UV-VIS Analysis, </w:t>
      </w:r>
      <w:proofErr w:type="spellStart"/>
      <w:r>
        <w:t>Nanocavitation</w:t>
      </w:r>
      <w:proofErr w:type="spellEnd"/>
      <w:r>
        <w:t>, Patent Registration, and Spectroscopy Techniques.</w:t>
      </w:r>
    </w:p>
    <w:p w14:paraId="13C5B08E" w14:textId="77777777" w:rsidR="00123D52" w:rsidRDefault="00123D52" w:rsidP="00123D52">
      <w:pPr>
        <w:pStyle w:val="NormalWeb"/>
        <w:numPr>
          <w:ilvl w:val="0"/>
          <w:numId w:val="10"/>
        </w:numPr>
        <w:spacing w:line="360" w:lineRule="auto"/>
      </w:pPr>
      <w:r>
        <w:t>Various training sessions in nanotechnology applications, scientific writing, advanced search, and peer review for academic journals.</w:t>
      </w:r>
    </w:p>
    <w:p w14:paraId="2212E465" w14:textId="3AB3CE8E" w:rsidR="00123D52" w:rsidRDefault="00123D52" w:rsidP="00123D52">
      <w:pPr>
        <w:bidi w:val="0"/>
        <w:spacing w:line="360" w:lineRule="auto"/>
      </w:pPr>
    </w:p>
    <w:p w14:paraId="18220177" w14:textId="77777777" w:rsidR="00123D52" w:rsidRDefault="00123D52" w:rsidP="00123D52">
      <w:pPr>
        <w:spacing w:line="360" w:lineRule="auto"/>
        <w:rPr>
          <w:sz w:val="24"/>
          <w:szCs w:val="24"/>
          <w:highlight w:val="cyan"/>
          <w:rtl/>
        </w:rPr>
      </w:pPr>
    </w:p>
    <w:sectPr w:rsidR="00123D52" w:rsidSect="00684B95">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Mitra">
    <w:altName w:val="Arial"/>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8341C"/>
    <w:multiLevelType w:val="multilevel"/>
    <w:tmpl w:val="CB865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A274C8"/>
    <w:multiLevelType w:val="multilevel"/>
    <w:tmpl w:val="F8EC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06727"/>
    <w:multiLevelType w:val="hybridMultilevel"/>
    <w:tmpl w:val="E49A7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3103A"/>
    <w:multiLevelType w:val="multilevel"/>
    <w:tmpl w:val="705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069A1"/>
    <w:multiLevelType w:val="multilevel"/>
    <w:tmpl w:val="1BF0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96372D"/>
    <w:multiLevelType w:val="hybridMultilevel"/>
    <w:tmpl w:val="E2A0B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87D42"/>
    <w:multiLevelType w:val="multilevel"/>
    <w:tmpl w:val="62DE60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FD4361"/>
    <w:multiLevelType w:val="hybridMultilevel"/>
    <w:tmpl w:val="08EEE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95515B"/>
    <w:multiLevelType w:val="multilevel"/>
    <w:tmpl w:val="CA026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B244BF"/>
    <w:multiLevelType w:val="multilevel"/>
    <w:tmpl w:val="143233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5"/>
  </w:num>
  <w:num w:numId="4">
    <w:abstractNumId w:val="1"/>
  </w:num>
  <w:num w:numId="5">
    <w:abstractNumId w:val="9"/>
  </w:num>
  <w:num w:numId="6">
    <w:abstractNumId w:val="6"/>
  </w:num>
  <w:num w:numId="7">
    <w:abstractNumId w:val="4"/>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AxNbcwNzKxNDQwsjBU0lEKTi0uzszPAykwqgUA4pM4ISwAAAA="/>
  </w:docVars>
  <w:rsids>
    <w:rsidRoot w:val="00970C80"/>
    <w:rsid w:val="00036BD3"/>
    <w:rsid w:val="00065660"/>
    <w:rsid w:val="0006766B"/>
    <w:rsid w:val="00082DC9"/>
    <w:rsid w:val="00083683"/>
    <w:rsid w:val="00097C3B"/>
    <w:rsid w:val="000B1CD8"/>
    <w:rsid w:val="000C67E2"/>
    <w:rsid w:val="00123264"/>
    <w:rsid w:val="00123D52"/>
    <w:rsid w:val="001326BE"/>
    <w:rsid w:val="0014182E"/>
    <w:rsid w:val="00157EEB"/>
    <w:rsid w:val="00181B67"/>
    <w:rsid w:val="00187D4A"/>
    <w:rsid w:val="00203975"/>
    <w:rsid w:val="00205E45"/>
    <w:rsid w:val="0021038D"/>
    <w:rsid w:val="00225608"/>
    <w:rsid w:val="002617F4"/>
    <w:rsid w:val="0026534B"/>
    <w:rsid w:val="0027339F"/>
    <w:rsid w:val="00291B21"/>
    <w:rsid w:val="002A39DB"/>
    <w:rsid w:val="002A79B5"/>
    <w:rsid w:val="002B62AB"/>
    <w:rsid w:val="003053CE"/>
    <w:rsid w:val="003764DD"/>
    <w:rsid w:val="00390545"/>
    <w:rsid w:val="003A3F2D"/>
    <w:rsid w:val="003B4A9A"/>
    <w:rsid w:val="003F6B04"/>
    <w:rsid w:val="0041377A"/>
    <w:rsid w:val="004230BE"/>
    <w:rsid w:val="00551E68"/>
    <w:rsid w:val="00552B1F"/>
    <w:rsid w:val="0056363F"/>
    <w:rsid w:val="00574D79"/>
    <w:rsid w:val="00592270"/>
    <w:rsid w:val="00596F98"/>
    <w:rsid w:val="005A2701"/>
    <w:rsid w:val="005B1E19"/>
    <w:rsid w:val="005B44EB"/>
    <w:rsid w:val="005C7BDE"/>
    <w:rsid w:val="0062371C"/>
    <w:rsid w:val="00637768"/>
    <w:rsid w:val="00655BF5"/>
    <w:rsid w:val="0066041E"/>
    <w:rsid w:val="00675603"/>
    <w:rsid w:val="00683C61"/>
    <w:rsid w:val="00684B95"/>
    <w:rsid w:val="006C2518"/>
    <w:rsid w:val="006C7D6C"/>
    <w:rsid w:val="006F094D"/>
    <w:rsid w:val="006F31EC"/>
    <w:rsid w:val="00703BBC"/>
    <w:rsid w:val="00726B29"/>
    <w:rsid w:val="00730575"/>
    <w:rsid w:val="007729F9"/>
    <w:rsid w:val="007A4296"/>
    <w:rsid w:val="007B1227"/>
    <w:rsid w:val="008821C3"/>
    <w:rsid w:val="008923C8"/>
    <w:rsid w:val="008C3BF4"/>
    <w:rsid w:val="008D6DDE"/>
    <w:rsid w:val="00907D25"/>
    <w:rsid w:val="00913D47"/>
    <w:rsid w:val="00950E40"/>
    <w:rsid w:val="00956ED5"/>
    <w:rsid w:val="00970C80"/>
    <w:rsid w:val="00982EBA"/>
    <w:rsid w:val="009E03B4"/>
    <w:rsid w:val="00A00962"/>
    <w:rsid w:val="00A14D38"/>
    <w:rsid w:val="00A50049"/>
    <w:rsid w:val="00A52264"/>
    <w:rsid w:val="00AA479B"/>
    <w:rsid w:val="00B50659"/>
    <w:rsid w:val="00B70639"/>
    <w:rsid w:val="00B7200B"/>
    <w:rsid w:val="00BA790B"/>
    <w:rsid w:val="00BB506D"/>
    <w:rsid w:val="00BD3A82"/>
    <w:rsid w:val="00C17001"/>
    <w:rsid w:val="00C3608C"/>
    <w:rsid w:val="00C44899"/>
    <w:rsid w:val="00C81685"/>
    <w:rsid w:val="00CB7C46"/>
    <w:rsid w:val="00CC28EA"/>
    <w:rsid w:val="00D311FE"/>
    <w:rsid w:val="00D46F59"/>
    <w:rsid w:val="00D661E5"/>
    <w:rsid w:val="00D6643A"/>
    <w:rsid w:val="00D85BB3"/>
    <w:rsid w:val="00DB77EA"/>
    <w:rsid w:val="00DC3E56"/>
    <w:rsid w:val="00DD2085"/>
    <w:rsid w:val="00DE4945"/>
    <w:rsid w:val="00E216AC"/>
    <w:rsid w:val="00E66C82"/>
    <w:rsid w:val="00E7716B"/>
    <w:rsid w:val="00E82758"/>
    <w:rsid w:val="00EC12DE"/>
    <w:rsid w:val="00ED3C9B"/>
    <w:rsid w:val="00EF377A"/>
    <w:rsid w:val="00EF7AA2"/>
    <w:rsid w:val="00F3473C"/>
    <w:rsid w:val="00F36810"/>
    <w:rsid w:val="00F37239"/>
    <w:rsid w:val="00F5123F"/>
    <w:rsid w:val="00F54A79"/>
    <w:rsid w:val="00F95DFF"/>
    <w:rsid w:val="00FA7435"/>
    <w:rsid w:val="00FD77FC"/>
    <w:rsid w:val="00FE4D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E425"/>
  <w15:docId w15:val="{D909C7DE-230E-4604-AB91-A8802428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66B"/>
    <w:pPr>
      <w:widowControl w:val="0"/>
      <w:bidi/>
    </w:pPr>
    <w:rPr>
      <w:rFonts w:ascii="Times New Roman" w:hAnsi="Times New Roman" w:cs="B Nazanin"/>
    </w:rPr>
  </w:style>
  <w:style w:type="paragraph" w:styleId="Heading2">
    <w:name w:val="heading 2"/>
    <w:basedOn w:val="Normal"/>
    <w:next w:val="Normal"/>
    <w:link w:val="Heading2Char"/>
    <w:qFormat/>
    <w:rsid w:val="00A52264"/>
    <w:pPr>
      <w:keepNext/>
      <w:widowControl/>
      <w:spacing w:after="0" w:line="240" w:lineRule="auto"/>
      <w:outlineLvl w:val="1"/>
    </w:pPr>
    <w:rPr>
      <w:rFonts w:eastAsia="Times New Roman" w:cs="Mitra"/>
      <w:noProof/>
      <w:sz w:val="20"/>
      <w:szCs w:val="28"/>
      <w:lang w:bidi="ar-SA"/>
    </w:rPr>
  </w:style>
  <w:style w:type="paragraph" w:styleId="Heading3">
    <w:name w:val="heading 3"/>
    <w:basedOn w:val="Normal"/>
    <w:next w:val="Normal"/>
    <w:link w:val="Heading3Char"/>
    <w:uiPriority w:val="9"/>
    <w:semiHidden/>
    <w:unhideWhenUsed/>
    <w:qFormat/>
    <w:rsid w:val="007729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C251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C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3473C"/>
    <w:pPr>
      <w:ind w:left="720"/>
      <w:contextualSpacing/>
    </w:pPr>
  </w:style>
  <w:style w:type="paragraph" w:styleId="BalloonText">
    <w:name w:val="Balloon Text"/>
    <w:basedOn w:val="Normal"/>
    <w:link w:val="BalloonTextChar"/>
    <w:uiPriority w:val="99"/>
    <w:semiHidden/>
    <w:unhideWhenUsed/>
    <w:rsid w:val="003B4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A9A"/>
    <w:rPr>
      <w:rFonts w:ascii="Tahoma" w:hAnsi="Tahoma" w:cs="Tahoma"/>
      <w:sz w:val="16"/>
      <w:szCs w:val="16"/>
    </w:rPr>
  </w:style>
  <w:style w:type="character" w:customStyle="1" w:styleId="hps">
    <w:name w:val="hps"/>
    <w:basedOn w:val="DefaultParagraphFont"/>
    <w:rsid w:val="00703BBC"/>
  </w:style>
  <w:style w:type="character" w:customStyle="1" w:styleId="Heading2Char">
    <w:name w:val="Heading 2 Char"/>
    <w:basedOn w:val="DefaultParagraphFont"/>
    <w:link w:val="Heading2"/>
    <w:rsid w:val="00A52264"/>
    <w:rPr>
      <w:rFonts w:ascii="Times New Roman" w:eastAsia="Times New Roman" w:hAnsi="Times New Roman" w:cs="Mitra"/>
      <w:noProof/>
      <w:sz w:val="20"/>
      <w:szCs w:val="28"/>
      <w:lang w:bidi="ar-SA"/>
    </w:rPr>
  </w:style>
  <w:style w:type="paragraph" w:styleId="NoSpacing">
    <w:name w:val="No Spacing"/>
    <w:uiPriority w:val="1"/>
    <w:qFormat/>
    <w:rsid w:val="00E216AC"/>
    <w:pPr>
      <w:widowControl w:val="0"/>
      <w:bidi/>
      <w:spacing w:after="0" w:line="240" w:lineRule="auto"/>
    </w:pPr>
    <w:rPr>
      <w:rFonts w:ascii="Times New Roman" w:hAnsi="Times New Roman" w:cs="B Nazanin"/>
    </w:rPr>
  </w:style>
  <w:style w:type="paragraph" w:customStyle="1" w:styleId="Default">
    <w:name w:val="Default"/>
    <w:rsid w:val="0066041E"/>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Hyperlink">
    <w:name w:val="Hyperlink"/>
    <w:basedOn w:val="DefaultParagraphFont"/>
    <w:uiPriority w:val="99"/>
    <w:semiHidden/>
    <w:unhideWhenUsed/>
    <w:rsid w:val="003053CE"/>
    <w:rPr>
      <w:color w:val="0000FF"/>
      <w:u w:val="single"/>
    </w:rPr>
  </w:style>
  <w:style w:type="paragraph" w:styleId="NormalWeb">
    <w:name w:val="Normal (Web)"/>
    <w:basedOn w:val="Normal"/>
    <w:uiPriority w:val="99"/>
    <w:semiHidden/>
    <w:unhideWhenUsed/>
    <w:rsid w:val="007729F9"/>
    <w:pPr>
      <w:widowControl/>
      <w:bidi w:val="0"/>
      <w:spacing w:before="100" w:beforeAutospacing="1" w:after="100" w:afterAutospacing="1" w:line="240" w:lineRule="auto"/>
    </w:pPr>
    <w:rPr>
      <w:rFonts w:eastAsia="Times New Roman" w:cs="Times New Roman"/>
      <w:sz w:val="24"/>
      <w:szCs w:val="24"/>
      <w:lang w:bidi="ar-SA"/>
    </w:rPr>
  </w:style>
  <w:style w:type="character" w:styleId="Strong">
    <w:name w:val="Strong"/>
    <w:basedOn w:val="DefaultParagraphFont"/>
    <w:uiPriority w:val="22"/>
    <w:qFormat/>
    <w:rsid w:val="007729F9"/>
    <w:rPr>
      <w:b/>
      <w:bCs/>
    </w:rPr>
  </w:style>
  <w:style w:type="character" w:customStyle="1" w:styleId="Heading3Char">
    <w:name w:val="Heading 3 Char"/>
    <w:basedOn w:val="DefaultParagraphFont"/>
    <w:link w:val="Heading3"/>
    <w:uiPriority w:val="9"/>
    <w:semiHidden/>
    <w:rsid w:val="007729F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C251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6881">
      <w:bodyDiv w:val="1"/>
      <w:marLeft w:val="0"/>
      <w:marRight w:val="0"/>
      <w:marTop w:val="0"/>
      <w:marBottom w:val="0"/>
      <w:divBdr>
        <w:top w:val="none" w:sz="0" w:space="0" w:color="auto"/>
        <w:left w:val="none" w:sz="0" w:space="0" w:color="auto"/>
        <w:bottom w:val="none" w:sz="0" w:space="0" w:color="auto"/>
        <w:right w:val="none" w:sz="0" w:space="0" w:color="auto"/>
      </w:divBdr>
    </w:div>
    <w:div w:id="101388582">
      <w:bodyDiv w:val="1"/>
      <w:marLeft w:val="0"/>
      <w:marRight w:val="0"/>
      <w:marTop w:val="0"/>
      <w:marBottom w:val="0"/>
      <w:divBdr>
        <w:top w:val="none" w:sz="0" w:space="0" w:color="auto"/>
        <w:left w:val="none" w:sz="0" w:space="0" w:color="auto"/>
        <w:bottom w:val="none" w:sz="0" w:space="0" w:color="auto"/>
        <w:right w:val="none" w:sz="0" w:space="0" w:color="auto"/>
      </w:divBdr>
    </w:div>
    <w:div w:id="125198058">
      <w:bodyDiv w:val="1"/>
      <w:marLeft w:val="0"/>
      <w:marRight w:val="0"/>
      <w:marTop w:val="0"/>
      <w:marBottom w:val="0"/>
      <w:divBdr>
        <w:top w:val="none" w:sz="0" w:space="0" w:color="auto"/>
        <w:left w:val="none" w:sz="0" w:space="0" w:color="auto"/>
        <w:bottom w:val="none" w:sz="0" w:space="0" w:color="auto"/>
        <w:right w:val="none" w:sz="0" w:space="0" w:color="auto"/>
      </w:divBdr>
    </w:div>
    <w:div w:id="171723017">
      <w:bodyDiv w:val="1"/>
      <w:marLeft w:val="0"/>
      <w:marRight w:val="0"/>
      <w:marTop w:val="0"/>
      <w:marBottom w:val="0"/>
      <w:divBdr>
        <w:top w:val="none" w:sz="0" w:space="0" w:color="auto"/>
        <w:left w:val="none" w:sz="0" w:space="0" w:color="auto"/>
        <w:bottom w:val="none" w:sz="0" w:space="0" w:color="auto"/>
        <w:right w:val="none" w:sz="0" w:space="0" w:color="auto"/>
      </w:divBdr>
    </w:div>
    <w:div w:id="207685983">
      <w:bodyDiv w:val="1"/>
      <w:marLeft w:val="0"/>
      <w:marRight w:val="0"/>
      <w:marTop w:val="0"/>
      <w:marBottom w:val="0"/>
      <w:divBdr>
        <w:top w:val="none" w:sz="0" w:space="0" w:color="auto"/>
        <w:left w:val="none" w:sz="0" w:space="0" w:color="auto"/>
        <w:bottom w:val="none" w:sz="0" w:space="0" w:color="auto"/>
        <w:right w:val="none" w:sz="0" w:space="0" w:color="auto"/>
      </w:divBdr>
    </w:div>
    <w:div w:id="236988033">
      <w:bodyDiv w:val="1"/>
      <w:marLeft w:val="0"/>
      <w:marRight w:val="0"/>
      <w:marTop w:val="0"/>
      <w:marBottom w:val="0"/>
      <w:divBdr>
        <w:top w:val="none" w:sz="0" w:space="0" w:color="auto"/>
        <w:left w:val="none" w:sz="0" w:space="0" w:color="auto"/>
        <w:bottom w:val="none" w:sz="0" w:space="0" w:color="auto"/>
        <w:right w:val="none" w:sz="0" w:space="0" w:color="auto"/>
      </w:divBdr>
    </w:div>
    <w:div w:id="269506725">
      <w:bodyDiv w:val="1"/>
      <w:marLeft w:val="0"/>
      <w:marRight w:val="0"/>
      <w:marTop w:val="0"/>
      <w:marBottom w:val="0"/>
      <w:divBdr>
        <w:top w:val="none" w:sz="0" w:space="0" w:color="auto"/>
        <w:left w:val="none" w:sz="0" w:space="0" w:color="auto"/>
        <w:bottom w:val="none" w:sz="0" w:space="0" w:color="auto"/>
        <w:right w:val="none" w:sz="0" w:space="0" w:color="auto"/>
      </w:divBdr>
    </w:div>
    <w:div w:id="281419937">
      <w:bodyDiv w:val="1"/>
      <w:marLeft w:val="0"/>
      <w:marRight w:val="0"/>
      <w:marTop w:val="0"/>
      <w:marBottom w:val="0"/>
      <w:divBdr>
        <w:top w:val="none" w:sz="0" w:space="0" w:color="auto"/>
        <w:left w:val="none" w:sz="0" w:space="0" w:color="auto"/>
        <w:bottom w:val="none" w:sz="0" w:space="0" w:color="auto"/>
        <w:right w:val="none" w:sz="0" w:space="0" w:color="auto"/>
      </w:divBdr>
    </w:div>
    <w:div w:id="728116151">
      <w:bodyDiv w:val="1"/>
      <w:marLeft w:val="0"/>
      <w:marRight w:val="0"/>
      <w:marTop w:val="0"/>
      <w:marBottom w:val="0"/>
      <w:divBdr>
        <w:top w:val="none" w:sz="0" w:space="0" w:color="auto"/>
        <w:left w:val="none" w:sz="0" w:space="0" w:color="auto"/>
        <w:bottom w:val="none" w:sz="0" w:space="0" w:color="auto"/>
        <w:right w:val="none" w:sz="0" w:space="0" w:color="auto"/>
      </w:divBdr>
    </w:div>
    <w:div w:id="839545360">
      <w:bodyDiv w:val="1"/>
      <w:marLeft w:val="0"/>
      <w:marRight w:val="0"/>
      <w:marTop w:val="0"/>
      <w:marBottom w:val="0"/>
      <w:divBdr>
        <w:top w:val="none" w:sz="0" w:space="0" w:color="auto"/>
        <w:left w:val="none" w:sz="0" w:space="0" w:color="auto"/>
        <w:bottom w:val="none" w:sz="0" w:space="0" w:color="auto"/>
        <w:right w:val="none" w:sz="0" w:space="0" w:color="auto"/>
      </w:divBdr>
    </w:div>
    <w:div w:id="909190272">
      <w:bodyDiv w:val="1"/>
      <w:marLeft w:val="0"/>
      <w:marRight w:val="0"/>
      <w:marTop w:val="0"/>
      <w:marBottom w:val="0"/>
      <w:divBdr>
        <w:top w:val="none" w:sz="0" w:space="0" w:color="auto"/>
        <w:left w:val="none" w:sz="0" w:space="0" w:color="auto"/>
        <w:bottom w:val="none" w:sz="0" w:space="0" w:color="auto"/>
        <w:right w:val="none" w:sz="0" w:space="0" w:color="auto"/>
      </w:divBdr>
    </w:div>
    <w:div w:id="909340347">
      <w:bodyDiv w:val="1"/>
      <w:marLeft w:val="0"/>
      <w:marRight w:val="0"/>
      <w:marTop w:val="0"/>
      <w:marBottom w:val="0"/>
      <w:divBdr>
        <w:top w:val="none" w:sz="0" w:space="0" w:color="auto"/>
        <w:left w:val="none" w:sz="0" w:space="0" w:color="auto"/>
        <w:bottom w:val="none" w:sz="0" w:space="0" w:color="auto"/>
        <w:right w:val="none" w:sz="0" w:space="0" w:color="auto"/>
      </w:divBdr>
    </w:div>
    <w:div w:id="941766150">
      <w:bodyDiv w:val="1"/>
      <w:marLeft w:val="0"/>
      <w:marRight w:val="0"/>
      <w:marTop w:val="0"/>
      <w:marBottom w:val="0"/>
      <w:divBdr>
        <w:top w:val="none" w:sz="0" w:space="0" w:color="auto"/>
        <w:left w:val="none" w:sz="0" w:space="0" w:color="auto"/>
        <w:bottom w:val="none" w:sz="0" w:space="0" w:color="auto"/>
        <w:right w:val="none" w:sz="0" w:space="0" w:color="auto"/>
      </w:divBdr>
    </w:div>
    <w:div w:id="1012104260">
      <w:bodyDiv w:val="1"/>
      <w:marLeft w:val="0"/>
      <w:marRight w:val="0"/>
      <w:marTop w:val="0"/>
      <w:marBottom w:val="0"/>
      <w:divBdr>
        <w:top w:val="none" w:sz="0" w:space="0" w:color="auto"/>
        <w:left w:val="none" w:sz="0" w:space="0" w:color="auto"/>
        <w:bottom w:val="none" w:sz="0" w:space="0" w:color="auto"/>
        <w:right w:val="none" w:sz="0" w:space="0" w:color="auto"/>
      </w:divBdr>
    </w:div>
    <w:div w:id="1033917737">
      <w:bodyDiv w:val="1"/>
      <w:marLeft w:val="0"/>
      <w:marRight w:val="0"/>
      <w:marTop w:val="0"/>
      <w:marBottom w:val="0"/>
      <w:divBdr>
        <w:top w:val="none" w:sz="0" w:space="0" w:color="auto"/>
        <w:left w:val="none" w:sz="0" w:space="0" w:color="auto"/>
        <w:bottom w:val="none" w:sz="0" w:space="0" w:color="auto"/>
        <w:right w:val="none" w:sz="0" w:space="0" w:color="auto"/>
      </w:divBdr>
    </w:div>
    <w:div w:id="1203522933">
      <w:bodyDiv w:val="1"/>
      <w:marLeft w:val="0"/>
      <w:marRight w:val="0"/>
      <w:marTop w:val="0"/>
      <w:marBottom w:val="0"/>
      <w:divBdr>
        <w:top w:val="none" w:sz="0" w:space="0" w:color="auto"/>
        <w:left w:val="none" w:sz="0" w:space="0" w:color="auto"/>
        <w:bottom w:val="none" w:sz="0" w:space="0" w:color="auto"/>
        <w:right w:val="none" w:sz="0" w:space="0" w:color="auto"/>
      </w:divBdr>
    </w:div>
    <w:div w:id="1499425324">
      <w:bodyDiv w:val="1"/>
      <w:marLeft w:val="0"/>
      <w:marRight w:val="0"/>
      <w:marTop w:val="0"/>
      <w:marBottom w:val="0"/>
      <w:divBdr>
        <w:top w:val="none" w:sz="0" w:space="0" w:color="auto"/>
        <w:left w:val="none" w:sz="0" w:space="0" w:color="auto"/>
        <w:bottom w:val="none" w:sz="0" w:space="0" w:color="auto"/>
        <w:right w:val="none" w:sz="0" w:space="0" w:color="auto"/>
      </w:divBdr>
    </w:div>
    <w:div w:id="1500661284">
      <w:bodyDiv w:val="1"/>
      <w:marLeft w:val="0"/>
      <w:marRight w:val="0"/>
      <w:marTop w:val="0"/>
      <w:marBottom w:val="0"/>
      <w:divBdr>
        <w:top w:val="none" w:sz="0" w:space="0" w:color="auto"/>
        <w:left w:val="none" w:sz="0" w:space="0" w:color="auto"/>
        <w:bottom w:val="none" w:sz="0" w:space="0" w:color="auto"/>
        <w:right w:val="none" w:sz="0" w:space="0" w:color="auto"/>
      </w:divBdr>
    </w:div>
    <w:div w:id="1519351127">
      <w:bodyDiv w:val="1"/>
      <w:marLeft w:val="0"/>
      <w:marRight w:val="0"/>
      <w:marTop w:val="0"/>
      <w:marBottom w:val="0"/>
      <w:divBdr>
        <w:top w:val="none" w:sz="0" w:space="0" w:color="auto"/>
        <w:left w:val="none" w:sz="0" w:space="0" w:color="auto"/>
        <w:bottom w:val="none" w:sz="0" w:space="0" w:color="auto"/>
        <w:right w:val="none" w:sz="0" w:space="0" w:color="auto"/>
      </w:divBdr>
    </w:div>
    <w:div w:id="1581988289">
      <w:bodyDiv w:val="1"/>
      <w:marLeft w:val="0"/>
      <w:marRight w:val="0"/>
      <w:marTop w:val="0"/>
      <w:marBottom w:val="0"/>
      <w:divBdr>
        <w:top w:val="none" w:sz="0" w:space="0" w:color="auto"/>
        <w:left w:val="none" w:sz="0" w:space="0" w:color="auto"/>
        <w:bottom w:val="none" w:sz="0" w:space="0" w:color="auto"/>
        <w:right w:val="none" w:sz="0" w:space="0" w:color="auto"/>
      </w:divBdr>
    </w:div>
    <w:div w:id="1583903952">
      <w:bodyDiv w:val="1"/>
      <w:marLeft w:val="0"/>
      <w:marRight w:val="0"/>
      <w:marTop w:val="0"/>
      <w:marBottom w:val="0"/>
      <w:divBdr>
        <w:top w:val="none" w:sz="0" w:space="0" w:color="auto"/>
        <w:left w:val="none" w:sz="0" w:space="0" w:color="auto"/>
        <w:bottom w:val="none" w:sz="0" w:space="0" w:color="auto"/>
        <w:right w:val="none" w:sz="0" w:space="0" w:color="auto"/>
      </w:divBdr>
    </w:div>
    <w:div w:id="1845823156">
      <w:bodyDiv w:val="1"/>
      <w:marLeft w:val="0"/>
      <w:marRight w:val="0"/>
      <w:marTop w:val="0"/>
      <w:marBottom w:val="0"/>
      <w:divBdr>
        <w:top w:val="none" w:sz="0" w:space="0" w:color="auto"/>
        <w:left w:val="none" w:sz="0" w:space="0" w:color="auto"/>
        <w:bottom w:val="none" w:sz="0" w:space="0" w:color="auto"/>
        <w:right w:val="none" w:sz="0" w:space="0" w:color="auto"/>
      </w:divBdr>
      <w:divsChild>
        <w:div w:id="594175039">
          <w:marLeft w:val="0"/>
          <w:marRight w:val="0"/>
          <w:marTop w:val="0"/>
          <w:marBottom w:val="0"/>
          <w:divBdr>
            <w:top w:val="none" w:sz="0" w:space="0" w:color="auto"/>
            <w:left w:val="none" w:sz="0" w:space="0" w:color="auto"/>
            <w:bottom w:val="none" w:sz="0" w:space="0" w:color="auto"/>
            <w:right w:val="none" w:sz="0" w:space="0" w:color="auto"/>
          </w:divBdr>
        </w:div>
      </w:divsChild>
    </w:div>
    <w:div w:id="206748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nlmcatalog/?term=1513-73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pus.com/sourceid/4017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dc:creator>
  <cp:lastModifiedBy>وحید امیدیان</cp:lastModifiedBy>
  <cp:revision>2</cp:revision>
  <cp:lastPrinted>2022-10-02T15:05:00Z</cp:lastPrinted>
  <dcterms:created xsi:type="dcterms:W3CDTF">2025-01-26T04:12:00Z</dcterms:created>
  <dcterms:modified xsi:type="dcterms:W3CDTF">2025-01-26T04:12:00Z</dcterms:modified>
</cp:coreProperties>
</file>